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2E" w:rsidRDefault="005D6B2E">
      <w:pPr>
        <w:spacing w:after="0" w:line="259" w:lineRule="auto"/>
        <w:ind w:left="833"/>
        <w:rPr>
          <w:color w:val="003366"/>
          <w:sz w:val="18"/>
        </w:rPr>
      </w:pPr>
    </w:p>
    <w:p w:rsidR="005D6B2E" w:rsidRDefault="005D6B2E" w:rsidP="00E3509D">
      <w:pPr>
        <w:pStyle w:val="Titre1"/>
        <w:ind w:firstLine="709"/>
        <w:rPr>
          <w:rFonts w:eastAsia="Times New Roman"/>
        </w:rPr>
      </w:pPr>
      <w:r>
        <w:rPr>
          <w:rFonts w:eastAsia="Times New Roman"/>
        </w:rPr>
        <w:t xml:space="preserve">Préférences </w:t>
      </w:r>
      <w:proofErr w:type="spellStart"/>
      <w:r>
        <w:rPr>
          <w:rFonts w:eastAsia="Times New Roman"/>
        </w:rPr>
        <w:t>Webservices</w:t>
      </w:r>
      <w:proofErr w:type="spell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fin examen 23/11/2017</w:t>
      </w:r>
    </w:p>
    <w:p w:rsidR="005D6B2E" w:rsidRDefault="005D6B2E" w:rsidP="00E3509D">
      <w:pPr>
        <w:ind w:firstLine="709"/>
      </w:pPr>
      <w:r>
        <w:rPr>
          <w:highlight w:val="green"/>
        </w:rPr>
        <w:t>Anodin</w:t>
      </w:r>
    </w:p>
    <w:p w:rsidR="005D6B2E" w:rsidRDefault="005D6B2E" w:rsidP="00E3509D">
      <w:pPr>
        <w:ind w:firstLine="709"/>
      </w:pPr>
      <w:r>
        <w:rPr>
          <w:highlight w:val="yellow"/>
        </w:rPr>
        <w:t>Présenter options</w:t>
      </w:r>
    </w:p>
    <w:p w:rsidR="005D6B2E" w:rsidRDefault="005D6B2E" w:rsidP="00E3509D">
      <w:pPr>
        <w:ind w:firstLine="709"/>
      </w:pPr>
      <w:r>
        <w:rPr>
          <w:highlight w:val="cyan"/>
        </w:rPr>
        <w:t>Option choisie</w:t>
      </w:r>
    </w:p>
    <w:p w:rsidR="005D6B2E" w:rsidRDefault="005D6B2E" w:rsidP="00E3509D">
      <w:pPr>
        <w:ind w:firstLine="709"/>
      </w:pPr>
      <w:r>
        <w:rPr>
          <w:highlight w:val="red"/>
        </w:rPr>
        <w:t xml:space="preserve">Groupe </w:t>
      </w:r>
      <w:proofErr w:type="spellStart"/>
      <w:r>
        <w:rPr>
          <w:highlight w:val="red"/>
        </w:rPr>
        <w:t>Koha</w:t>
      </w:r>
      <w:proofErr w:type="spellEnd"/>
    </w:p>
    <w:p w:rsidR="005D6B2E" w:rsidRDefault="005D6B2E" w:rsidP="00E3509D">
      <w:pPr>
        <w:ind w:firstLine="709"/>
        <w:rPr>
          <w:b/>
          <w:szCs w:val="20"/>
        </w:rPr>
      </w:pPr>
      <w:r>
        <w:rPr>
          <w:b/>
          <w:szCs w:val="20"/>
        </w:rPr>
        <w:t>Gras : nouveau paramètre</w:t>
      </w:r>
    </w:p>
    <w:p w:rsidR="005D6B2E" w:rsidRDefault="005D6B2E">
      <w:pPr>
        <w:spacing w:after="0" w:line="259" w:lineRule="auto"/>
        <w:ind w:left="833"/>
        <w:rPr>
          <w:color w:val="003366"/>
          <w:sz w:val="18"/>
        </w:rPr>
      </w:pPr>
    </w:p>
    <w:p w:rsidR="00FB41DB" w:rsidRDefault="00AB0555" w:rsidP="00E3509D">
      <w:pPr>
        <w:pStyle w:val="Titre2"/>
        <w:ind w:left="567" w:firstLine="0"/>
      </w:pPr>
      <w:r>
        <w:t>ILS-DI</w:t>
      </w:r>
    </w:p>
    <w:tbl>
      <w:tblPr>
        <w:tblStyle w:val="TableGrid"/>
        <w:tblW w:w="10450" w:type="dxa"/>
        <w:tblInd w:w="725" w:type="dxa"/>
        <w:tblCellMar>
          <w:top w:w="48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8835"/>
      </w:tblGrid>
      <w:tr w:rsidR="00FB41DB" w:rsidRPr="00FE6D59">
        <w:trPr>
          <w:trHeight w:val="276"/>
        </w:trPr>
        <w:tc>
          <w:tcPr>
            <w:tcW w:w="1615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B41DB" w:rsidRPr="00FE6D59" w:rsidRDefault="00AB0555">
            <w:pPr>
              <w:spacing w:after="0" w:line="259" w:lineRule="auto"/>
              <w:ind w:left="302" w:firstLine="0"/>
              <w:rPr>
                <w:b/>
              </w:rPr>
            </w:pPr>
            <w:r w:rsidRPr="00FE6D59">
              <w:rPr>
                <w:b/>
                <w:sz w:val="14"/>
              </w:rPr>
              <w:t>Préférences</w:t>
            </w:r>
          </w:p>
        </w:tc>
        <w:tc>
          <w:tcPr>
            <w:tcW w:w="8834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FB41DB" w:rsidRPr="00FE6D59" w:rsidRDefault="00AB0555">
            <w:pPr>
              <w:spacing w:after="0" w:line="259" w:lineRule="auto"/>
              <w:ind w:left="75" w:firstLine="0"/>
              <w:jc w:val="center"/>
              <w:rPr>
                <w:b/>
              </w:rPr>
            </w:pPr>
            <w:r w:rsidRPr="00FE6D59">
              <w:rPr>
                <w:b/>
                <w:sz w:val="14"/>
              </w:rPr>
              <w:t>Valeur</w:t>
            </w:r>
          </w:p>
        </w:tc>
      </w:tr>
      <w:tr w:rsidR="00FB41DB">
        <w:trPr>
          <w:trHeight w:val="310"/>
        </w:trPr>
        <w:tc>
          <w:tcPr>
            <w:tcW w:w="1615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B41DB" w:rsidRDefault="00AB0555">
            <w:pPr>
              <w:spacing w:after="0" w:line="259" w:lineRule="auto"/>
              <w:ind w:left="0" w:firstLine="0"/>
            </w:pPr>
            <w:r w:rsidRPr="000D7514">
              <w:rPr>
                <w:color w:val="000000" w:themeColor="text1"/>
                <w:sz w:val="12"/>
                <w:highlight w:val="cyan"/>
              </w:rPr>
              <w:t>ILS-DI</w:t>
            </w:r>
          </w:p>
        </w:tc>
        <w:tc>
          <w:tcPr>
            <w:tcW w:w="8834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FB41DB" w:rsidRDefault="00AB0555">
            <w:pPr>
              <w:spacing w:after="0" w:line="259" w:lineRule="auto"/>
              <w:ind w:left="7" w:firstLine="0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>
                  <wp:extent cx="445008" cy="134112"/>
                  <wp:effectExtent l="0" t="0" r="0" b="0"/>
                  <wp:docPr id="109" name="Picture 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0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web_services.pref#ILS-DI</w:t>
            </w:r>
            <w:proofErr w:type="spellEnd"/>
            <w:r>
              <w:rPr>
                <w:sz w:val="12"/>
              </w:rPr>
              <w:t># services ILS-DI pour les utilisateurs de l'OPAC (disponible à : /</w:t>
            </w:r>
            <w:proofErr w:type="spellStart"/>
            <w:r>
              <w:rPr>
                <w:sz w:val="12"/>
              </w:rPr>
              <w:t>cgi</w:t>
            </w:r>
            <w:proofErr w:type="spellEnd"/>
            <w:r>
              <w:rPr>
                <w:sz w:val="12"/>
              </w:rPr>
              <w:t>-bin/</w:t>
            </w:r>
            <w:proofErr w:type="spellStart"/>
            <w:r>
              <w:rPr>
                <w:sz w:val="12"/>
              </w:rPr>
              <w:t>koha</w:t>
            </w:r>
            <w:proofErr w:type="spellEnd"/>
            <w:r>
              <w:rPr>
                <w:sz w:val="12"/>
              </w:rPr>
              <w:t>/ilsdi.pl)</w:t>
            </w:r>
          </w:p>
          <w:p w:rsidR="005D6B2E" w:rsidRDefault="005D6B2E" w:rsidP="005D6B2E">
            <w:pPr>
              <w:spacing w:after="0" w:line="259" w:lineRule="auto"/>
              <w:ind w:left="7" w:firstLine="0"/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actuelle=Activer</w:t>
            </w:r>
          </w:p>
        </w:tc>
      </w:tr>
      <w:tr w:rsidR="00FB41DB">
        <w:trPr>
          <w:trHeight w:val="473"/>
        </w:trPr>
        <w:tc>
          <w:tcPr>
            <w:tcW w:w="1615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B41DB" w:rsidRDefault="00AB0555">
            <w:pPr>
              <w:spacing w:after="0" w:line="259" w:lineRule="auto"/>
              <w:ind w:left="0" w:firstLine="0"/>
            </w:pPr>
            <w:proofErr w:type="spellStart"/>
            <w:r w:rsidRPr="00C47382">
              <w:rPr>
                <w:sz w:val="12"/>
                <w:highlight w:val="green"/>
              </w:rPr>
              <w:t>ILS-DI:AuthorizedIPs</w:t>
            </w:r>
            <w:proofErr w:type="spellEnd"/>
          </w:p>
        </w:tc>
        <w:tc>
          <w:tcPr>
            <w:tcW w:w="8834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FB41DB" w:rsidRPr="005D6B2E" w:rsidRDefault="00AB0555">
            <w:pPr>
              <w:spacing w:after="0" w:line="259" w:lineRule="auto"/>
              <w:ind w:left="14" w:firstLine="0"/>
              <w:rPr>
                <w:sz w:val="12"/>
              </w:rPr>
            </w:pPr>
            <w:r>
              <w:rPr>
                <w:sz w:val="12"/>
              </w:rPr>
              <w:t xml:space="preserve">Autoriser les adresses IP </w:t>
            </w:r>
            <w:r>
              <w:rPr>
                <w:noProof/>
              </w:rPr>
              <w:drawing>
                <wp:inline distT="0" distB="0" distL="0" distR="0">
                  <wp:extent cx="932688" cy="146304"/>
                  <wp:effectExtent l="0" t="0" r="0" b="0"/>
                  <wp:docPr id="111" name="Picture 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88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ab/>
              <w:t xml:space="preserve"> à utiliser les services web ILS-DI (si activé). Séparez les adresses IP par des virgules et sans espace. Laissez vide </w:t>
            </w:r>
            <w:r w:rsidR="005D6B2E">
              <w:rPr>
                <w:sz w:val="12"/>
              </w:rPr>
              <w:t xml:space="preserve">pour </w:t>
            </w:r>
            <w:r w:rsidR="005D6B2E" w:rsidRPr="005D6B2E">
              <w:rPr>
                <w:sz w:val="12"/>
              </w:rPr>
              <w:t>ne pas fixer de limitation</w:t>
            </w:r>
          </w:p>
          <w:p w:rsidR="00C47382" w:rsidRPr="00C47382" w:rsidRDefault="005D6B2E" w:rsidP="00C47382">
            <w:pPr>
              <w:spacing w:line="259" w:lineRule="auto"/>
              <w:ind w:left="14"/>
              <w:rPr>
                <w:rFonts w:ascii="Calibri" w:eastAsia="Calibri" w:hAnsi="Calibri"/>
                <w:b/>
                <w:color w:val="7030A0"/>
                <w:sz w:val="22"/>
                <w:lang w:eastAsia="en-US"/>
              </w:rPr>
            </w:pPr>
            <w:r w:rsidRPr="00FE6D59">
              <w:rPr>
                <w:b/>
                <w:color w:val="7030A0"/>
              </w:rPr>
              <w:t>Ne faut-il pas renseigner l’URL d’</w:t>
            </w:r>
            <w:proofErr w:type="spellStart"/>
            <w:r w:rsidRPr="00FE6D59">
              <w:rPr>
                <w:b/>
                <w:color w:val="7030A0"/>
              </w:rPr>
              <w:t>ebsco</w:t>
            </w:r>
            <w:proofErr w:type="spellEnd"/>
            <w:r w:rsidRPr="00FE6D59">
              <w:rPr>
                <w:b/>
                <w:color w:val="7030A0"/>
              </w:rPr>
              <w:t xml:space="preserve"> (</w:t>
            </w:r>
            <w:proofErr w:type="spellStart"/>
            <w:r w:rsidRPr="00FE6D59">
              <w:rPr>
                <w:b/>
                <w:color w:val="7030A0"/>
              </w:rPr>
              <w:t>EDS</w:t>
            </w:r>
            <w:proofErr w:type="spellEnd"/>
            <w:r w:rsidRPr="00FE6D59">
              <w:rPr>
                <w:b/>
                <w:color w:val="7030A0"/>
              </w:rPr>
              <w:t xml:space="preserve">) comme le </w:t>
            </w:r>
            <w:proofErr w:type="spellStart"/>
            <w:r w:rsidRPr="00FE6D59">
              <w:rPr>
                <w:b/>
                <w:color w:val="7030A0"/>
              </w:rPr>
              <w:t>préconnisait</w:t>
            </w:r>
            <w:proofErr w:type="spellEnd"/>
            <w:r w:rsidRPr="00FE6D59">
              <w:rPr>
                <w:b/>
                <w:color w:val="7030A0"/>
              </w:rPr>
              <w:t xml:space="preserve"> </w:t>
            </w:r>
            <w:proofErr w:type="spellStart"/>
            <w:r w:rsidRPr="00FE6D59">
              <w:rPr>
                <w:b/>
                <w:color w:val="7030A0"/>
              </w:rPr>
              <w:t>Progilone</w:t>
            </w:r>
            <w:proofErr w:type="spellEnd"/>
            <w:r w:rsidRPr="00FE6D59">
              <w:rPr>
                <w:b/>
                <w:color w:val="7030A0"/>
              </w:rPr>
              <w:t> ?</w:t>
            </w:r>
            <w:r w:rsidR="00C47382">
              <w:rPr>
                <w:b/>
                <w:color w:val="7030A0"/>
              </w:rPr>
              <w:t xml:space="preserve"> </w:t>
            </w:r>
            <w:r w:rsidR="00C47382" w:rsidRPr="00C47382">
              <w:rPr>
                <w:rFonts w:ascii="Calibri" w:eastAsia="Calibri" w:hAnsi="Calibri"/>
                <w:b/>
                <w:color w:val="7030A0"/>
                <w:sz w:val="22"/>
                <w:lang w:eastAsia="en-US"/>
              </w:rPr>
              <w:t xml:space="preserve">Non car </w:t>
            </w:r>
            <w:proofErr w:type="spellStart"/>
            <w:r w:rsidR="00C47382" w:rsidRPr="00C47382">
              <w:rPr>
                <w:rFonts w:ascii="Calibri" w:eastAsia="Calibri" w:hAnsi="Calibri"/>
                <w:b/>
                <w:color w:val="7030A0"/>
                <w:sz w:val="22"/>
                <w:lang w:eastAsia="en-US"/>
              </w:rPr>
              <w:t>enssib</w:t>
            </w:r>
            <w:proofErr w:type="spellEnd"/>
            <w:r w:rsidR="00C47382" w:rsidRPr="00C47382">
              <w:rPr>
                <w:rFonts w:ascii="Calibri" w:eastAsia="Calibri" w:hAnsi="Calibri"/>
                <w:b/>
                <w:color w:val="7030A0"/>
                <w:sz w:val="22"/>
                <w:lang w:eastAsia="en-US"/>
              </w:rPr>
              <w:t xml:space="preserve"> fonctionne avec un reverse proxy, pas avec les IP. </w:t>
            </w:r>
          </w:p>
          <w:p w:rsidR="005D6B2E" w:rsidRDefault="005D6B2E" w:rsidP="005D6B2E">
            <w:pPr>
              <w:spacing w:after="0" w:line="259" w:lineRule="auto"/>
              <w:ind w:left="14" w:firstLine="0"/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actuelle=vide</w:t>
            </w:r>
          </w:p>
        </w:tc>
      </w:tr>
    </w:tbl>
    <w:p w:rsidR="00FB41DB" w:rsidRDefault="00AB0555" w:rsidP="00E3509D">
      <w:pPr>
        <w:pStyle w:val="Titre2"/>
        <w:ind w:firstLine="699"/>
      </w:pPr>
      <w:proofErr w:type="spellStart"/>
      <w:r>
        <w:t>OAI-PMH</w:t>
      </w:r>
      <w:proofErr w:type="spellEnd"/>
    </w:p>
    <w:tbl>
      <w:tblPr>
        <w:tblStyle w:val="TableGrid"/>
        <w:tblW w:w="10450" w:type="dxa"/>
        <w:tblInd w:w="725" w:type="dxa"/>
        <w:tblCellMar>
          <w:top w:w="48" w:type="dxa"/>
          <w:left w:w="41" w:type="dxa"/>
          <w:right w:w="76" w:type="dxa"/>
        </w:tblCellMar>
        <w:tblLook w:val="04A0" w:firstRow="1" w:lastRow="0" w:firstColumn="1" w:lastColumn="0" w:noHBand="0" w:noVBand="1"/>
      </w:tblPr>
      <w:tblGrid>
        <w:gridCol w:w="1596"/>
        <w:gridCol w:w="8854"/>
      </w:tblGrid>
      <w:tr w:rsidR="00FB41DB">
        <w:trPr>
          <w:trHeight w:val="276"/>
        </w:trPr>
        <w:tc>
          <w:tcPr>
            <w:tcW w:w="159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B41DB" w:rsidRDefault="00AB0555">
            <w:pPr>
              <w:spacing w:after="0" w:line="259" w:lineRule="auto"/>
              <w:ind w:left="293" w:firstLine="0"/>
            </w:pPr>
            <w:r>
              <w:rPr>
                <w:sz w:val="14"/>
              </w:rPr>
              <w:t>Préférences</w:t>
            </w:r>
          </w:p>
        </w:tc>
        <w:tc>
          <w:tcPr>
            <w:tcW w:w="8854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FB41DB" w:rsidRDefault="00AB0555">
            <w:pPr>
              <w:spacing w:after="0" w:line="259" w:lineRule="auto"/>
              <w:ind w:left="35" w:firstLine="0"/>
              <w:jc w:val="center"/>
            </w:pPr>
            <w:r>
              <w:rPr>
                <w:sz w:val="14"/>
              </w:rPr>
              <w:t>Valeur</w:t>
            </w:r>
          </w:p>
        </w:tc>
      </w:tr>
      <w:tr w:rsidR="00FB41DB">
        <w:trPr>
          <w:trHeight w:val="310"/>
        </w:trPr>
        <w:tc>
          <w:tcPr>
            <w:tcW w:w="159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B41DB" w:rsidRDefault="00AB0555">
            <w:pPr>
              <w:spacing w:after="0" w:line="259" w:lineRule="auto"/>
              <w:ind w:left="0" w:firstLine="0"/>
            </w:pPr>
            <w:r w:rsidRPr="000D7514">
              <w:rPr>
                <w:sz w:val="12"/>
                <w:highlight w:val="cyan"/>
              </w:rPr>
              <w:t>OAI-PMH</w:t>
            </w:r>
          </w:p>
        </w:tc>
        <w:tc>
          <w:tcPr>
            <w:tcW w:w="8854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FB41DB" w:rsidRDefault="00AB0555">
            <w:pPr>
              <w:spacing w:after="0" w:line="259" w:lineRule="auto"/>
              <w:ind w:left="7" w:firstLine="0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>
                  <wp:extent cx="445008" cy="134112"/>
                  <wp:effectExtent l="0" t="0" r="0" b="0"/>
                  <wp:docPr id="113" name="Picture 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0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le serveur </w:t>
            </w:r>
            <w:proofErr w:type="spellStart"/>
            <w:r>
              <w:rPr>
                <w:sz w:val="12"/>
              </w:rPr>
              <w:t>OAI</w:t>
            </w:r>
            <w:proofErr w:type="spellEnd"/>
            <w:r>
              <w:rPr>
                <w:sz w:val="12"/>
              </w:rPr>
              <w:t xml:space="preserve"> de </w:t>
            </w:r>
            <w:proofErr w:type="spellStart"/>
            <w:r>
              <w:rPr>
                <w:sz w:val="12"/>
              </w:rPr>
              <w:t>Koha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color w:val="004D99"/>
                <w:sz w:val="12"/>
              </w:rPr>
              <w:t>OAI-PMH</w:t>
            </w:r>
            <w:proofErr w:type="spellEnd"/>
            <w:r>
              <w:rPr>
                <w:sz w:val="12"/>
              </w:rPr>
              <w:t>.</w:t>
            </w:r>
          </w:p>
          <w:p w:rsidR="005D6B2E" w:rsidRDefault="005D6B2E">
            <w:pPr>
              <w:spacing w:after="0" w:line="259" w:lineRule="auto"/>
              <w:ind w:left="7" w:firstLine="0"/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actuelle=Activer</w:t>
            </w:r>
          </w:p>
        </w:tc>
      </w:tr>
      <w:tr w:rsidR="00FB41DB">
        <w:trPr>
          <w:trHeight w:val="330"/>
        </w:trPr>
        <w:tc>
          <w:tcPr>
            <w:tcW w:w="1596" w:type="dxa"/>
            <w:tcBorders>
              <w:top w:val="single" w:sz="4" w:space="0" w:color="BCBCBC"/>
              <w:left w:val="single" w:sz="4" w:space="0" w:color="BCBCBC"/>
              <w:bottom w:val="single" w:sz="5" w:space="0" w:color="BCBCBC"/>
              <w:right w:val="single" w:sz="4" w:space="0" w:color="CCCCCC"/>
            </w:tcBorders>
          </w:tcPr>
          <w:p w:rsidR="00FB41DB" w:rsidRDefault="00AB0555">
            <w:pPr>
              <w:spacing w:after="0" w:line="259" w:lineRule="auto"/>
              <w:ind w:left="0" w:firstLine="0"/>
            </w:pPr>
            <w:proofErr w:type="spellStart"/>
            <w:r w:rsidRPr="000D7514">
              <w:rPr>
                <w:sz w:val="12"/>
                <w:highlight w:val="cyan"/>
              </w:rPr>
              <w:t>OAI-PMH:archiveID</w:t>
            </w:r>
            <w:proofErr w:type="spellEnd"/>
          </w:p>
        </w:tc>
        <w:tc>
          <w:tcPr>
            <w:tcW w:w="8854" w:type="dxa"/>
            <w:tcBorders>
              <w:top w:val="single" w:sz="4" w:space="0" w:color="BCBCBC"/>
              <w:left w:val="single" w:sz="4" w:space="0" w:color="CCCCCC"/>
              <w:bottom w:val="single" w:sz="5" w:space="0" w:color="CCCCCC"/>
              <w:right w:val="single" w:sz="4" w:space="0" w:color="BCBCBC"/>
            </w:tcBorders>
          </w:tcPr>
          <w:p w:rsidR="00FB41DB" w:rsidRDefault="00AB0555">
            <w:pPr>
              <w:tabs>
                <w:tab w:val="center" w:pos="4342"/>
              </w:tabs>
              <w:spacing w:after="0" w:line="259" w:lineRule="auto"/>
              <w:ind w:left="0" w:firstLine="0"/>
              <w:rPr>
                <w:sz w:val="12"/>
              </w:rPr>
            </w:pPr>
            <w:r>
              <w:rPr>
                <w:sz w:val="12"/>
              </w:rPr>
              <w:t xml:space="preserve">Identifier les enregistrement de ce site avec le préfixe : </w:t>
            </w:r>
            <w:r>
              <w:rPr>
                <w:noProof/>
              </w:rPr>
              <w:drawing>
                <wp:inline distT="0" distB="0" distL="0" distR="0">
                  <wp:extent cx="893064" cy="146304"/>
                  <wp:effectExtent l="0" t="0" r="0" b="0"/>
                  <wp:docPr id="115" name="Picture 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064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ab/>
              <w:t xml:space="preserve"> : .</w:t>
            </w:r>
          </w:p>
          <w:p w:rsidR="005D6B2E" w:rsidRDefault="005D6B2E" w:rsidP="005D6B2E">
            <w:pPr>
              <w:tabs>
                <w:tab w:val="center" w:pos="4342"/>
              </w:tabs>
              <w:spacing w:after="0" w:line="259" w:lineRule="auto"/>
              <w:ind w:left="0" w:firstLine="0"/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</w:t>
            </w:r>
            <w:proofErr w:type="spellStart"/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KOHA-OAI-enssib</w:t>
            </w:r>
            <w:proofErr w:type="spellEnd"/>
          </w:p>
        </w:tc>
      </w:tr>
      <w:tr w:rsidR="00FB41DB">
        <w:trPr>
          <w:trHeight w:val="364"/>
        </w:trPr>
        <w:tc>
          <w:tcPr>
            <w:tcW w:w="1596" w:type="dxa"/>
            <w:tcBorders>
              <w:top w:val="single" w:sz="5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B41DB" w:rsidRPr="000D7514" w:rsidRDefault="00AB0555">
            <w:pPr>
              <w:spacing w:after="6" w:line="259" w:lineRule="auto"/>
              <w:ind w:left="0" w:firstLine="0"/>
              <w:rPr>
                <w:highlight w:val="cyan"/>
              </w:rPr>
            </w:pPr>
            <w:r w:rsidRPr="000D7514">
              <w:rPr>
                <w:sz w:val="12"/>
                <w:highlight w:val="cyan"/>
              </w:rPr>
              <w:t>OAI-</w:t>
            </w:r>
          </w:p>
          <w:p w:rsidR="00FB41DB" w:rsidRDefault="00AB0555">
            <w:pPr>
              <w:spacing w:after="0" w:line="259" w:lineRule="auto"/>
              <w:ind w:left="0" w:firstLine="0"/>
            </w:pPr>
            <w:proofErr w:type="spellStart"/>
            <w:r w:rsidRPr="000D7514">
              <w:rPr>
                <w:sz w:val="12"/>
                <w:highlight w:val="cyan"/>
              </w:rPr>
              <w:t>PMH:AutoUpdateSets</w:t>
            </w:r>
            <w:proofErr w:type="spellEnd"/>
          </w:p>
        </w:tc>
        <w:tc>
          <w:tcPr>
            <w:tcW w:w="8854" w:type="dxa"/>
            <w:tcBorders>
              <w:top w:val="single" w:sz="5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  <w:vAlign w:val="center"/>
          </w:tcPr>
          <w:p w:rsidR="00FB41DB" w:rsidRDefault="00AB0555">
            <w:pPr>
              <w:spacing w:after="0" w:line="259" w:lineRule="auto"/>
              <w:ind w:left="7" w:firstLine="0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>
                  <wp:extent cx="445008" cy="134112"/>
                  <wp:effectExtent l="0" t="0" r="0" b="0"/>
                  <wp:docPr id="117" name="Picture 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0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la mise à jour automatique des sets OAI-PMH quand une notice bibliographique est ajoutée ou modifiée</w:t>
            </w:r>
          </w:p>
          <w:p w:rsidR="005D6B2E" w:rsidRDefault="005D6B2E">
            <w:pPr>
              <w:spacing w:after="0" w:line="259" w:lineRule="auto"/>
              <w:ind w:left="7" w:firstLine="0"/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actuelle=Activer</w:t>
            </w:r>
          </w:p>
        </w:tc>
      </w:tr>
      <w:tr w:rsidR="00FB41DB">
        <w:trPr>
          <w:trHeight w:val="602"/>
        </w:trPr>
        <w:tc>
          <w:tcPr>
            <w:tcW w:w="159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B41DB" w:rsidRDefault="00AB0555">
            <w:pPr>
              <w:spacing w:after="0" w:line="259" w:lineRule="auto"/>
              <w:ind w:left="0" w:firstLine="0"/>
            </w:pPr>
            <w:proofErr w:type="spellStart"/>
            <w:r w:rsidRPr="000D7514">
              <w:rPr>
                <w:sz w:val="12"/>
                <w:highlight w:val="cyan"/>
              </w:rPr>
              <w:t>OAI-PMH:ConfFile</w:t>
            </w:r>
            <w:proofErr w:type="spellEnd"/>
          </w:p>
        </w:tc>
        <w:tc>
          <w:tcPr>
            <w:tcW w:w="8854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FB41DB" w:rsidRDefault="00AB0555">
            <w:pPr>
              <w:tabs>
                <w:tab w:val="center" w:pos="7007"/>
              </w:tabs>
              <w:spacing w:after="0" w:line="259" w:lineRule="auto"/>
              <w:ind w:left="0" w:firstLine="0"/>
            </w:pPr>
            <w:r>
              <w:rPr>
                <w:sz w:val="12"/>
              </w:rPr>
              <w:t xml:space="preserve">Fichier YAML de configuration du serveur </w:t>
            </w:r>
            <w:proofErr w:type="spellStart"/>
            <w:r>
              <w:rPr>
                <w:sz w:val="12"/>
              </w:rPr>
              <w:t>OAI</w:t>
            </w:r>
            <w:proofErr w:type="spellEnd"/>
            <w:r>
              <w:rPr>
                <w:sz w:val="12"/>
              </w:rPr>
              <w:t xml:space="preserve"> de </w:t>
            </w:r>
            <w:proofErr w:type="spellStart"/>
            <w:r>
              <w:rPr>
                <w:sz w:val="12"/>
              </w:rPr>
              <w:t>Koha</w:t>
            </w:r>
            <w:proofErr w:type="spellEnd"/>
            <w:r>
              <w:rPr>
                <w:sz w:val="12"/>
              </w:rPr>
              <w:t xml:space="preserve"> : </w:t>
            </w:r>
            <w:r>
              <w:rPr>
                <w:noProof/>
              </w:rPr>
              <w:drawing>
                <wp:inline distT="0" distB="0" distL="0" distR="0">
                  <wp:extent cx="1722120" cy="140208"/>
                  <wp:effectExtent l="0" t="0" r="0" b="0"/>
                  <wp:docPr id="1963" name="Picture 1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" name="Picture 19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ab/>
              <w:t xml:space="preserve"> Si vide, le serveur OAI fonctionne en mode normal,</w:t>
            </w:r>
          </w:p>
          <w:p w:rsidR="00FB41DB" w:rsidRDefault="00AB0555">
            <w:pPr>
              <w:spacing w:after="0" w:line="259" w:lineRule="auto"/>
              <w:ind w:left="14" w:firstLine="0"/>
              <w:rPr>
                <w:sz w:val="12"/>
              </w:rPr>
            </w:pPr>
            <w:r>
              <w:rPr>
                <w:sz w:val="12"/>
              </w:rPr>
              <w:t xml:space="preserve">autrement il opère en mode étendu. En mode étendu, il est possible de définir d'autres formats que le </w:t>
            </w:r>
            <w:proofErr w:type="spellStart"/>
            <w:r>
              <w:rPr>
                <w:sz w:val="12"/>
              </w:rPr>
              <w:t>marcxml</w:t>
            </w:r>
            <w:proofErr w:type="spellEnd"/>
            <w:r>
              <w:rPr>
                <w:sz w:val="12"/>
              </w:rPr>
              <w:t xml:space="preserve"> ou le Dublin </w:t>
            </w:r>
            <w:proofErr w:type="spellStart"/>
            <w:r>
              <w:rPr>
                <w:sz w:val="12"/>
              </w:rPr>
              <w:t>Core</w:t>
            </w:r>
            <w:proofErr w:type="spellEnd"/>
            <w:r>
              <w:rPr>
                <w:sz w:val="12"/>
              </w:rPr>
              <w:t xml:space="preserve">. Le fichier YAML liste les formats de </w:t>
            </w:r>
            <w:proofErr w:type="spellStart"/>
            <w:r>
              <w:rPr>
                <w:sz w:val="12"/>
              </w:rPr>
              <w:t>metadonnées</w:t>
            </w:r>
            <w:proofErr w:type="spellEnd"/>
            <w:r>
              <w:rPr>
                <w:sz w:val="12"/>
              </w:rPr>
              <w:t xml:space="preserve"> disponibles et les fichiers XSL utilisés pour générer ces formats à partir des notices </w:t>
            </w:r>
            <w:proofErr w:type="spellStart"/>
            <w:r>
              <w:rPr>
                <w:sz w:val="12"/>
              </w:rPr>
              <w:t>marcxml</w:t>
            </w:r>
            <w:proofErr w:type="spellEnd"/>
            <w:r>
              <w:rPr>
                <w:sz w:val="12"/>
              </w:rPr>
              <w:t>.</w:t>
            </w:r>
          </w:p>
          <w:p w:rsidR="005D6B2E" w:rsidRDefault="005D6B2E" w:rsidP="005D6B2E">
            <w:pPr>
              <w:spacing w:after="0" w:line="259" w:lineRule="auto"/>
              <w:ind w:left="14" w:firstLine="0"/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actuelle=vide</w:t>
            </w:r>
          </w:p>
        </w:tc>
      </w:tr>
      <w:tr w:rsidR="00FB41DB">
        <w:trPr>
          <w:trHeight w:val="454"/>
        </w:trPr>
        <w:tc>
          <w:tcPr>
            <w:tcW w:w="159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B41DB" w:rsidRPr="005D6B2E" w:rsidRDefault="00AB0555">
            <w:pPr>
              <w:spacing w:after="0" w:line="259" w:lineRule="auto"/>
              <w:ind w:left="0" w:firstLine="0"/>
              <w:rPr>
                <w:b/>
              </w:rPr>
            </w:pPr>
            <w:proofErr w:type="spellStart"/>
            <w:r w:rsidRPr="00C47382">
              <w:rPr>
                <w:b/>
                <w:sz w:val="16"/>
                <w:highlight w:val="cyan"/>
              </w:rPr>
              <w:t>OAI-PMH:DeletedRecord</w:t>
            </w:r>
            <w:proofErr w:type="spellEnd"/>
          </w:p>
        </w:tc>
        <w:tc>
          <w:tcPr>
            <w:tcW w:w="8854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FB41DB" w:rsidRPr="0056522B" w:rsidRDefault="00FB41DB">
            <w:pPr>
              <w:spacing w:after="35" w:line="259" w:lineRule="auto"/>
              <w:ind w:left="14" w:firstLine="0"/>
              <w:rPr>
                <w:lang w:val="en-US"/>
              </w:rPr>
            </w:pPr>
          </w:p>
          <w:p w:rsidR="00FE6D59" w:rsidRDefault="00FE6D59" w:rsidP="00FE6D59">
            <w:pPr>
              <w:spacing w:after="0" w:line="259" w:lineRule="auto"/>
              <w:ind w:left="0" w:right="216" w:firstLine="0"/>
              <w:rPr>
                <w:sz w:val="12"/>
                <w:lang w:val="en-US"/>
              </w:rPr>
            </w:pPr>
            <w:proofErr w:type="spellStart"/>
            <w:r w:rsidRPr="0056522B">
              <w:rPr>
                <w:sz w:val="12"/>
                <w:lang w:val="en-US"/>
              </w:rPr>
              <w:t>web_services.pref#OAI-PMH:DeletedRecord</w:t>
            </w:r>
            <w:proofErr w:type="spellEnd"/>
            <w:r w:rsidRPr="0056522B">
              <w:rPr>
                <w:sz w:val="12"/>
                <w:lang w:val="en-US"/>
              </w:rPr>
              <w:t xml:space="preserve"># </w:t>
            </w:r>
            <w:r w:rsidRPr="00FE6D59">
              <w:rPr>
                <w:sz w:val="16"/>
                <w:lang w:val="en-US"/>
              </w:rPr>
              <w:t xml:space="preserve">table "deleted </w:t>
            </w:r>
            <w:proofErr w:type="spellStart"/>
            <w:r w:rsidRPr="00FE6D59">
              <w:rPr>
                <w:sz w:val="16"/>
                <w:lang w:val="en-US"/>
              </w:rPr>
              <w:t>biblio</w:t>
            </w:r>
            <w:proofErr w:type="spellEnd"/>
            <w:r w:rsidRPr="00FE6D59">
              <w:rPr>
                <w:sz w:val="16"/>
                <w:lang w:val="en-US"/>
              </w:rPr>
              <w:t>" de Koha</w:t>
            </w:r>
            <w:r w:rsidRPr="00FE6D59">
              <w:rPr>
                <w:noProof/>
                <w:sz w:val="24"/>
                <w:lang w:val="en-US"/>
              </w:rPr>
              <w:t xml:space="preserve"> </w:t>
            </w:r>
            <w:r w:rsidRPr="00FE6D59">
              <w:rPr>
                <w:noProof/>
                <w:sz w:val="24"/>
              </w:rPr>
              <w:drawing>
                <wp:anchor distT="0" distB="0" distL="114300" distR="114300" simplePos="0" relativeHeight="251657216" behindDoc="0" locked="0" layoutInCell="1" allowOverlap="0" wp14:anchorId="016F95F9" wp14:editId="30D91C6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-109855</wp:posOffset>
                  </wp:positionV>
                  <wp:extent cx="3830955" cy="137160"/>
                  <wp:effectExtent l="0" t="0" r="0" b="0"/>
                  <wp:wrapSquare wrapText="bothSides"/>
                  <wp:docPr id="1964" name="Picture 1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" name="Picture 19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0955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lang w:val="en-US"/>
              </w:rPr>
              <w:t>web</w:t>
            </w:r>
            <w:r w:rsidR="00AB0555" w:rsidRPr="00FE6D59">
              <w:rPr>
                <w:sz w:val="16"/>
                <w:lang w:val="en-US"/>
              </w:rPr>
              <w:t xml:space="preserve"> </w:t>
            </w:r>
          </w:p>
          <w:p w:rsidR="00FB41DB" w:rsidRDefault="00AB0555" w:rsidP="00FE6D59">
            <w:pPr>
              <w:spacing w:after="0" w:line="259" w:lineRule="auto"/>
              <w:ind w:left="0" w:right="216" w:firstLine="0"/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</w:pPr>
            <w:r w:rsidRPr="0056522B">
              <w:rPr>
                <w:sz w:val="12"/>
                <w:lang w:val="en-US"/>
              </w:rPr>
              <w:t>.</w:t>
            </w:r>
            <w:r w:rsidR="005D6B2E" w:rsidRPr="0056522B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  <w:lang w:val="en-US"/>
              </w:rPr>
              <w:t xml:space="preserve"> </w:t>
            </w:r>
            <w:r w:rsidR="005D6B2E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actuelle=Ne sera jamais vidé ou tronqué (persistant)</w:t>
            </w:r>
          </w:p>
          <w:p w:rsidR="005D6B2E" w:rsidRDefault="00C47382" w:rsidP="00C47382">
            <w:pPr>
              <w:tabs>
                <w:tab w:val="center" w:pos="4327"/>
              </w:tabs>
              <w:spacing w:after="0" w:line="259" w:lineRule="auto"/>
              <w:ind w:left="0" w:firstLine="0"/>
              <w:jc w:val="both"/>
            </w:pPr>
            <w:r w:rsidRPr="00C47382">
              <w:rPr>
                <w:rFonts w:ascii="Calibri" w:eastAsia="Calibri" w:hAnsi="Calibri"/>
                <w:color w:val="7030A0"/>
                <w:sz w:val="22"/>
                <w:lang w:eastAsia="en-US"/>
              </w:rPr>
              <w:t xml:space="preserve">Confirmation de </w:t>
            </w:r>
            <w:proofErr w:type="spellStart"/>
            <w:r w:rsidRPr="00C47382">
              <w:rPr>
                <w:rFonts w:ascii="Calibri" w:eastAsia="Calibri" w:hAnsi="Calibri"/>
                <w:color w:val="7030A0"/>
                <w:sz w:val="22"/>
                <w:lang w:eastAsia="en-US"/>
              </w:rPr>
              <w:t>depinfo</w:t>
            </w:r>
            <w:proofErr w:type="spellEnd"/>
            <w:r w:rsidRPr="00C47382">
              <w:rPr>
                <w:rFonts w:ascii="Calibri" w:eastAsia="Calibri" w:hAnsi="Calibri"/>
                <w:color w:val="7030A0"/>
                <w:sz w:val="22"/>
                <w:lang w:eastAsia="en-US"/>
              </w:rPr>
              <w:t xml:space="preserve"> le 25/01/2018 </w:t>
            </w:r>
          </w:p>
        </w:tc>
      </w:tr>
      <w:tr w:rsidR="00FB41DB">
        <w:trPr>
          <w:trHeight w:val="329"/>
        </w:trPr>
        <w:tc>
          <w:tcPr>
            <w:tcW w:w="159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B41DB" w:rsidRDefault="00AB0555">
            <w:pPr>
              <w:spacing w:after="0" w:line="259" w:lineRule="auto"/>
              <w:ind w:left="0" w:firstLine="0"/>
            </w:pPr>
            <w:proofErr w:type="spellStart"/>
            <w:r w:rsidRPr="000D7514">
              <w:rPr>
                <w:sz w:val="12"/>
                <w:highlight w:val="cyan"/>
              </w:rPr>
              <w:t>OAI-PMH:MaxCount</w:t>
            </w:r>
            <w:proofErr w:type="spellEnd"/>
          </w:p>
        </w:tc>
        <w:tc>
          <w:tcPr>
            <w:tcW w:w="8854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FB41DB" w:rsidRDefault="00AB0555">
            <w:pPr>
              <w:tabs>
                <w:tab w:val="center" w:pos="4327"/>
              </w:tabs>
              <w:spacing w:after="0" w:line="259" w:lineRule="auto"/>
              <w:ind w:left="0" w:firstLine="0"/>
              <w:rPr>
                <w:sz w:val="12"/>
              </w:rPr>
            </w:pPr>
            <w:r>
              <w:rPr>
                <w:sz w:val="12"/>
              </w:rPr>
              <w:t xml:space="preserve">Renvoyer les résultats par lot de </w:t>
            </w:r>
            <w:r>
              <w:rPr>
                <w:noProof/>
              </w:rPr>
              <w:drawing>
                <wp:inline distT="0" distB="0" distL="0" distR="0">
                  <wp:extent cx="478536" cy="146304"/>
                  <wp:effectExtent l="0" t="0" r="0" b="0"/>
                  <wp:docPr id="123" name="Picture 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6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ab/>
              <w:t xml:space="preserve"> notices à la fois en réponse aux requêtes </w:t>
            </w:r>
            <w:proofErr w:type="spellStart"/>
            <w:r>
              <w:rPr>
                <w:sz w:val="12"/>
              </w:rPr>
              <w:t>ListRecords</w:t>
            </w:r>
            <w:proofErr w:type="spellEnd"/>
            <w:r>
              <w:rPr>
                <w:sz w:val="12"/>
              </w:rPr>
              <w:t xml:space="preserve"> et </w:t>
            </w:r>
            <w:proofErr w:type="spellStart"/>
            <w:r>
              <w:rPr>
                <w:sz w:val="12"/>
              </w:rPr>
              <w:t>ListIdentifiers</w:t>
            </w:r>
            <w:proofErr w:type="spellEnd"/>
            <w:r>
              <w:rPr>
                <w:sz w:val="12"/>
              </w:rPr>
              <w:t>.</w:t>
            </w:r>
          </w:p>
          <w:p w:rsidR="005D6B2E" w:rsidRPr="00FE6D59" w:rsidRDefault="005D6B2E">
            <w:pPr>
              <w:tabs>
                <w:tab w:val="center" w:pos="4327"/>
              </w:tabs>
              <w:spacing w:after="0" w:line="259" w:lineRule="auto"/>
              <w:ind w:left="0" w:firstLine="0"/>
              <w:rPr>
                <w:color w:val="7030A0"/>
              </w:rPr>
            </w:pPr>
            <w:r w:rsidRPr="00FE6D59">
              <w:rPr>
                <w:color w:val="7030A0"/>
              </w:rPr>
              <w:t xml:space="preserve">Attention </w:t>
            </w:r>
            <w:proofErr w:type="spellStart"/>
            <w:r w:rsidRPr="00FE6D59">
              <w:rPr>
                <w:color w:val="7030A0"/>
              </w:rPr>
              <w:t>Progilone</w:t>
            </w:r>
            <w:proofErr w:type="spellEnd"/>
            <w:r w:rsidRPr="00FE6D59">
              <w:rPr>
                <w:color w:val="7030A0"/>
              </w:rPr>
              <w:t xml:space="preserve"> préconisait 50</w:t>
            </w:r>
          </w:p>
          <w:p w:rsidR="005D6B2E" w:rsidRDefault="005D6B2E" w:rsidP="005D6B2E">
            <w:pPr>
              <w:tabs>
                <w:tab w:val="center" w:pos="4327"/>
              </w:tabs>
              <w:spacing w:after="0" w:line="259" w:lineRule="auto"/>
              <w:ind w:left="0" w:firstLine="0"/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actuelle=3000</w:t>
            </w:r>
          </w:p>
        </w:tc>
      </w:tr>
    </w:tbl>
    <w:p w:rsidR="00FB41DB" w:rsidRDefault="00AB0555" w:rsidP="00E3509D">
      <w:pPr>
        <w:pStyle w:val="Titre2"/>
        <w:ind w:firstLine="699"/>
      </w:pPr>
      <w:proofErr w:type="spellStart"/>
      <w:r>
        <w:t>Reporting</w:t>
      </w:r>
      <w:proofErr w:type="spellEnd"/>
    </w:p>
    <w:tbl>
      <w:tblPr>
        <w:tblStyle w:val="TableGrid"/>
        <w:tblW w:w="10450" w:type="dxa"/>
        <w:tblInd w:w="725" w:type="dxa"/>
        <w:tblCellMar>
          <w:top w:w="50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1786"/>
        <w:gridCol w:w="8664"/>
      </w:tblGrid>
      <w:tr w:rsidR="00FB41DB" w:rsidRPr="00FE6D59">
        <w:trPr>
          <w:trHeight w:val="276"/>
        </w:trPr>
        <w:tc>
          <w:tcPr>
            <w:tcW w:w="178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B41DB" w:rsidRPr="00FE6D59" w:rsidRDefault="00AB0555">
            <w:pPr>
              <w:spacing w:after="0" w:line="259" w:lineRule="auto"/>
              <w:ind w:left="389" w:firstLine="0"/>
              <w:rPr>
                <w:b/>
              </w:rPr>
            </w:pPr>
            <w:r w:rsidRPr="00FE6D59">
              <w:rPr>
                <w:b/>
                <w:sz w:val="14"/>
              </w:rPr>
              <w:t>Préférences</w:t>
            </w:r>
          </w:p>
        </w:tc>
        <w:tc>
          <w:tcPr>
            <w:tcW w:w="8664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FB41DB" w:rsidRPr="00FE6D59" w:rsidRDefault="00AB0555">
            <w:pPr>
              <w:spacing w:after="0" w:line="259" w:lineRule="auto"/>
              <w:ind w:left="77" w:firstLine="0"/>
              <w:jc w:val="center"/>
              <w:rPr>
                <w:b/>
              </w:rPr>
            </w:pPr>
            <w:r w:rsidRPr="00FE6D59">
              <w:rPr>
                <w:b/>
                <w:sz w:val="14"/>
              </w:rPr>
              <w:t>Valeur</w:t>
            </w:r>
          </w:p>
        </w:tc>
      </w:tr>
      <w:tr w:rsidR="00FB41DB">
        <w:trPr>
          <w:trHeight w:val="331"/>
        </w:trPr>
        <w:tc>
          <w:tcPr>
            <w:tcW w:w="178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</w:tcPr>
          <w:p w:rsidR="00FB41DB" w:rsidRDefault="00AB0555">
            <w:pPr>
              <w:spacing w:after="0" w:line="259" w:lineRule="auto"/>
              <w:ind w:left="0" w:firstLine="0"/>
            </w:pPr>
            <w:proofErr w:type="spellStart"/>
            <w:r w:rsidRPr="000D7514">
              <w:rPr>
                <w:sz w:val="12"/>
                <w:highlight w:val="cyan"/>
              </w:rPr>
              <w:t>SvcMaxReportRows</w:t>
            </w:r>
            <w:proofErr w:type="spellEnd"/>
          </w:p>
        </w:tc>
        <w:tc>
          <w:tcPr>
            <w:tcW w:w="8664" w:type="dxa"/>
            <w:tcBorders>
              <w:top w:val="single" w:sz="4" w:space="0" w:color="CCCCCC"/>
              <w:left w:val="single" w:sz="4" w:space="0" w:color="BCBCBC"/>
              <w:bottom w:val="single" w:sz="4" w:space="0" w:color="BCBCBC"/>
              <w:right w:val="single" w:sz="4" w:space="0" w:color="BCBCBC"/>
            </w:tcBorders>
          </w:tcPr>
          <w:p w:rsidR="00FB41DB" w:rsidRDefault="00AB0555">
            <w:pPr>
              <w:tabs>
                <w:tab w:val="center" w:pos="4038"/>
              </w:tabs>
              <w:spacing w:after="0" w:line="259" w:lineRule="auto"/>
              <w:ind w:left="0" w:firstLine="0"/>
              <w:rPr>
                <w:sz w:val="12"/>
              </w:rPr>
            </w:pPr>
            <w:r>
              <w:rPr>
                <w:sz w:val="12"/>
              </w:rPr>
              <w:t xml:space="preserve">Renvoyer uniquement </w:t>
            </w:r>
            <w:r>
              <w:rPr>
                <w:noProof/>
              </w:rPr>
              <w:drawing>
                <wp:inline distT="0" distB="0" distL="0" distR="0">
                  <wp:extent cx="478536" cy="146304"/>
                  <wp:effectExtent l="0" t="0" r="0" b="0"/>
                  <wp:docPr id="125" name="Picture 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6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ab/>
              <w:t xml:space="preserve"> colonnes d'un rapport demandé par l'intermédiaire du Web service des rapports.</w:t>
            </w:r>
          </w:p>
          <w:p w:rsidR="005D6B2E" w:rsidRDefault="005D6B2E" w:rsidP="005D6B2E">
            <w:pPr>
              <w:tabs>
                <w:tab w:val="center" w:pos="4038"/>
              </w:tabs>
              <w:spacing w:after="0" w:line="259" w:lineRule="auto"/>
              <w:ind w:left="0" w:firstLine="0"/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actuelle=20</w:t>
            </w:r>
          </w:p>
        </w:tc>
      </w:tr>
    </w:tbl>
    <w:p w:rsidR="00FB41DB" w:rsidRDefault="00AB0555" w:rsidP="00E3509D">
      <w:pPr>
        <w:pStyle w:val="Titre2"/>
        <w:ind w:firstLine="699"/>
      </w:pPr>
      <w:r>
        <w:t>Services web</w:t>
      </w:r>
    </w:p>
    <w:tbl>
      <w:tblPr>
        <w:tblStyle w:val="TableGrid"/>
        <w:tblW w:w="10450" w:type="dxa"/>
        <w:tblInd w:w="725" w:type="dxa"/>
        <w:tblCellMar>
          <w:top w:w="53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1245"/>
        <w:gridCol w:w="9205"/>
      </w:tblGrid>
      <w:tr w:rsidR="00FB41DB" w:rsidRPr="00E3509D">
        <w:trPr>
          <w:trHeight w:val="278"/>
        </w:trPr>
        <w:tc>
          <w:tcPr>
            <w:tcW w:w="104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B41DB" w:rsidRPr="00E3509D" w:rsidRDefault="00AB0555" w:rsidP="00E3509D">
            <w:pPr>
              <w:spacing w:after="0" w:line="259" w:lineRule="auto"/>
              <w:ind w:left="389" w:firstLine="0"/>
              <w:rPr>
                <w:b/>
                <w:sz w:val="14"/>
              </w:rPr>
            </w:pPr>
            <w:r w:rsidRPr="00E3509D">
              <w:rPr>
                <w:b/>
                <w:sz w:val="14"/>
              </w:rPr>
              <w:t>Préférences</w:t>
            </w:r>
          </w:p>
        </w:tc>
        <w:tc>
          <w:tcPr>
            <w:tcW w:w="9403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FB41DB" w:rsidRPr="00E3509D" w:rsidRDefault="00AB0555" w:rsidP="00E3509D">
            <w:pPr>
              <w:spacing w:after="0" w:line="259" w:lineRule="auto"/>
              <w:ind w:left="389" w:firstLine="0"/>
              <w:rPr>
                <w:b/>
                <w:sz w:val="14"/>
              </w:rPr>
            </w:pPr>
            <w:r w:rsidRPr="00E3509D">
              <w:rPr>
                <w:b/>
                <w:sz w:val="14"/>
              </w:rPr>
              <w:t>Valeur</w:t>
            </w:r>
          </w:p>
        </w:tc>
      </w:tr>
      <w:tr w:rsidR="00FB41DB">
        <w:trPr>
          <w:trHeight w:val="454"/>
        </w:trPr>
        <w:tc>
          <w:tcPr>
            <w:tcW w:w="104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</w:tcPr>
          <w:p w:rsidR="00FB41DB" w:rsidRDefault="00AB0555">
            <w:pPr>
              <w:spacing w:after="0" w:line="259" w:lineRule="auto"/>
              <w:ind w:left="0" w:firstLine="0"/>
              <w:rPr>
                <w:b/>
              </w:rPr>
            </w:pPr>
            <w:proofErr w:type="spellStart"/>
            <w:r w:rsidRPr="001361D0">
              <w:rPr>
                <w:b/>
                <w:highlight w:val="yellow"/>
              </w:rPr>
              <w:t>IdR</w:t>
            </w:r>
            <w:r w:rsidRPr="001361D0">
              <w:rPr>
                <w:b/>
                <w:highlight w:val="red"/>
              </w:rPr>
              <w:t>ef</w:t>
            </w:r>
            <w:proofErr w:type="spellEnd"/>
          </w:p>
          <w:p w:rsidR="00E3509D" w:rsidRDefault="00E3509D" w:rsidP="00E3509D">
            <w:pPr>
              <w:ind w:left="0" w:firstLine="0"/>
              <w:rPr>
                <w:b/>
                <w:sz w:val="22"/>
              </w:rPr>
            </w:pPr>
            <w:r w:rsidRPr="009A6809">
              <w:rPr>
                <w:b/>
                <w:sz w:val="22"/>
              </w:rPr>
              <w:t xml:space="preserve">Montrée le </w:t>
            </w:r>
            <w:r>
              <w:rPr>
                <w:b/>
                <w:sz w:val="22"/>
              </w:rPr>
              <w:t>22/01/2018</w:t>
            </w:r>
          </w:p>
          <w:p w:rsidR="00E3509D" w:rsidRDefault="00E3509D" w:rsidP="00E3509D">
            <w:pPr>
              <w:ind w:left="0" w:firstLine="0"/>
              <w:rPr>
                <w:b/>
                <w:sz w:val="22"/>
              </w:rPr>
            </w:pPr>
          </w:p>
          <w:p w:rsidR="00E3509D" w:rsidRPr="005D6B2E" w:rsidRDefault="00E3509D" w:rsidP="00E3509D">
            <w:pPr>
              <w:spacing w:after="0" w:line="259" w:lineRule="auto"/>
              <w:ind w:left="0" w:firstLine="0"/>
              <w:rPr>
                <w:b/>
              </w:rPr>
            </w:pPr>
            <w:proofErr w:type="spellStart"/>
            <w:r w:rsidRPr="00D01542">
              <w:rPr>
                <w:b/>
                <w:sz w:val="22"/>
                <w:highlight w:val="magenta"/>
              </w:rPr>
              <w:t>LQ</w:t>
            </w:r>
            <w:proofErr w:type="spellEnd"/>
          </w:p>
        </w:tc>
        <w:tc>
          <w:tcPr>
            <w:tcW w:w="9403" w:type="dxa"/>
            <w:tcBorders>
              <w:top w:val="single" w:sz="4" w:space="0" w:color="CCCCCC"/>
              <w:left w:val="single" w:sz="4" w:space="0" w:color="BCBCBC"/>
              <w:bottom w:val="single" w:sz="4" w:space="0" w:color="BCBCBC"/>
              <w:right w:val="single" w:sz="4" w:space="0" w:color="BCBCBC"/>
            </w:tcBorders>
          </w:tcPr>
          <w:p w:rsidR="00FB41DB" w:rsidRDefault="00AB0555">
            <w:pPr>
              <w:spacing w:after="0" w:line="259" w:lineRule="auto"/>
              <w:ind w:left="15" w:hanging="5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>
                  <wp:extent cx="448056" cy="137160"/>
                  <wp:effectExtent l="0" t="0" r="0" b="0"/>
                  <wp:docPr id="1965" name="Picture 1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" name="Picture 196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le</w:t>
            </w:r>
            <w:proofErr w:type="gramEnd"/>
            <w:r>
              <w:rPr>
                <w:sz w:val="12"/>
              </w:rPr>
              <w:t xml:space="preserve"> web service </w:t>
            </w:r>
            <w:proofErr w:type="spellStart"/>
            <w:r>
              <w:rPr>
                <w:sz w:val="12"/>
              </w:rPr>
              <w:t>IdRef</w:t>
            </w:r>
            <w:proofErr w:type="spellEnd"/>
            <w:r>
              <w:rPr>
                <w:sz w:val="12"/>
              </w:rPr>
              <w:t xml:space="preserve"> de la page de détails de l'</w:t>
            </w:r>
            <w:proofErr w:type="spellStart"/>
            <w:r>
              <w:rPr>
                <w:sz w:val="12"/>
              </w:rPr>
              <w:t>opac</w:t>
            </w:r>
            <w:proofErr w:type="spellEnd"/>
            <w:r>
              <w:rPr>
                <w:sz w:val="12"/>
              </w:rPr>
              <w:t xml:space="preserve"> . </w:t>
            </w:r>
            <w:proofErr w:type="spellStart"/>
            <w:r>
              <w:rPr>
                <w:sz w:val="12"/>
              </w:rPr>
              <w:t>IdRef</w:t>
            </w:r>
            <w:proofErr w:type="spellEnd"/>
            <w:r>
              <w:rPr>
                <w:sz w:val="12"/>
              </w:rPr>
              <w:t xml:space="preserve"> permet de demander des autorités de la base du </w:t>
            </w:r>
            <w:proofErr w:type="spellStart"/>
            <w:r>
              <w:rPr>
                <w:sz w:val="12"/>
              </w:rPr>
              <w:t>sudoc</w:t>
            </w:r>
            <w:proofErr w:type="spellEnd"/>
            <w:r>
              <w:rPr>
                <w:sz w:val="12"/>
              </w:rPr>
              <w:t>. Merci de noter que cette fonctionnalité est disponible uniquement pour UNIMARC.</w:t>
            </w:r>
          </w:p>
          <w:p w:rsidR="0056522B" w:rsidRPr="0056522B" w:rsidRDefault="0056522B" w:rsidP="0056522B">
            <w:pPr>
              <w:spacing w:after="0" w:line="259" w:lineRule="auto"/>
              <w:ind w:left="15" w:hanging="5"/>
              <w:rPr>
                <w:color w:val="7030A0"/>
              </w:rPr>
            </w:pPr>
            <w:r>
              <w:rPr>
                <w:color w:val="7030A0"/>
              </w:rPr>
              <w:t xml:space="preserve">Tamil 3.20 : </w:t>
            </w:r>
            <w:hyperlink r:id="rId15" w:history="1">
              <w:r w:rsidRPr="00104E81">
                <w:rPr>
                  <w:rStyle w:val="Lienhypertexte"/>
                </w:rPr>
                <w:t>https://www.tamil.fr/actu/koha_320.html</w:t>
              </w:r>
            </w:hyperlink>
            <w:r>
              <w:rPr>
                <w:color w:val="7030A0"/>
              </w:rPr>
              <w:t xml:space="preserve"> : </w:t>
            </w:r>
          </w:p>
          <w:p w:rsidR="005D6B2E" w:rsidRDefault="0056522B" w:rsidP="0056522B">
            <w:pPr>
              <w:spacing w:after="0" w:line="259" w:lineRule="auto"/>
              <w:ind w:left="15" w:hanging="5"/>
              <w:rPr>
                <w:sz w:val="12"/>
              </w:rPr>
            </w:pPr>
            <w:r>
              <w:rPr>
                <w:color w:val="7030A0"/>
              </w:rPr>
              <w:t>« </w:t>
            </w:r>
            <w:proofErr w:type="spellStart"/>
            <w:r w:rsidRPr="0056522B">
              <w:rPr>
                <w:color w:val="7030A0"/>
              </w:rPr>
              <w:t>IdRef</w:t>
            </w:r>
            <w:proofErr w:type="spellEnd"/>
            <w:r w:rsidRPr="0056522B">
              <w:rPr>
                <w:color w:val="7030A0"/>
              </w:rPr>
              <w:t xml:space="preserve"> (identifiants et référentiels) est une application de l’ABES qui permet de d’interroger les autorités du </w:t>
            </w:r>
            <w:proofErr w:type="spellStart"/>
            <w:r w:rsidRPr="0056522B">
              <w:rPr>
                <w:color w:val="7030A0"/>
              </w:rPr>
              <w:t>Sudoc</w:t>
            </w:r>
            <w:proofErr w:type="spellEnd"/>
            <w:r w:rsidRPr="0056522B">
              <w:rPr>
                <w:color w:val="7030A0"/>
              </w:rPr>
              <w:t xml:space="preserve">, Star, </w:t>
            </w:r>
            <w:proofErr w:type="spellStart"/>
            <w:r w:rsidRPr="0056522B">
              <w:rPr>
                <w:color w:val="7030A0"/>
              </w:rPr>
              <w:t>Step</w:t>
            </w:r>
            <w:proofErr w:type="spellEnd"/>
            <w:r w:rsidRPr="0056522B">
              <w:rPr>
                <w:color w:val="7030A0"/>
              </w:rPr>
              <w:t xml:space="preserve"> et Calames à partir d’une application web ou de services web. L’</w:t>
            </w:r>
            <w:proofErr w:type="spellStart"/>
            <w:r w:rsidRPr="0056522B">
              <w:rPr>
                <w:color w:val="7030A0"/>
              </w:rPr>
              <w:t>OPAC</w:t>
            </w:r>
            <w:proofErr w:type="spellEnd"/>
            <w:r w:rsidRPr="0056522B">
              <w:rPr>
                <w:color w:val="7030A0"/>
              </w:rPr>
              <w:t xml:space="preserve"> de </w:t>
            </w:r>
            <w:proofErr w:type="spellStart"/>
            <w:r w:rsidRPr="0056522B">
              <w:rPr>
                <w:color w:val="7030A0"/>
              </w:rPr>
              <w:t>Koha</w:t>
            </w:r>
            <w:proofErr w:type="spellEnd"/>
            <w:r w:rsidRPr="0056522B">
              <w:rPr>
                <w:color w:val="7030A0"/>
              </w:rPr>
              <w:t xml:space="preserve"> peut désormais être interfacé avec </w:t>
            </w:r>
            <w:proofErr w:type="spellStart"/>
            <w:r w:rsidRPr="0056522B">
              <w:rPr>
                <w:color w:val="7030A0"/>
              </w:rPr>
              <w:t>IdRef</w:t>
            </w:r>
            <w:proofErr w:type="spellEnd"/>
            <w:r w:rsidRPr="0056522B">
              <w:rPr>
                <w:color w:val="7030A0"/>
              </w:rPr>
              <w:t xml:space="preserve">. Les notices bibliographiques qui contiennent des identifiants d’autorité </w:t>
            </w:r>
            <w:proofErr w:type="spellStart"/>
            <w:r w:rsidRPr="0056522B">
              <w:rPr>
                <w:color w:val="7030A0"/>
              </w:rPr>
              <w:t>Sudoc</w:t>
            </w:r>
            <w:proofErr w:type="spellEnd"/>
            <w:r w:rsidRPr="0056522B">
              <w:rPr>
                <w:color w:val="7030A0"/>
              </w:rPr>
              <w:t xml:space="preserve"> dans le sous-champs $3 des champs Auteur affiche à l’OPAC un nouveau lien intitulé</w:t>
            </w:r>
            <w:proofErr w:type="gramStart"/>
            <w:r w:rsidRPr="0056522B">
              <w:rPr>
                <w:color w:val="7030A0"/>
              </w:rPr>
              <w:t xml:space="preserve"> «</w:t>
            </w:r>
            <w:proofErr w:type="spellStart"/>
            <w:r w:rsidRPr="0056522B">
              <w:rPr>
                <w:color w:val="7030A0"/>
              </w:rPr>
              <w:t>idref</w:t>
            </w:r>
            <w:proofErr w:type="spellEnd"/>
            <w:proofErr w:type="gramEnd"/>
            <w:r w:rsidRPr="0056522B">
              <w:rPr>
                <w:color w:val="7030A0"/>
              </w:rPr>
              <w:t xml:space="preserve">». En cliquant sur ce lien, une recherche est lancée dans </w:t>
            </w:r>
            <w:proofErr w:type="spellStart"/>
            <w:r w:rsidRPr="0056522B">
              <w:rPr>
                <w:color w:val="7030A0"/>
              </w:rPr>
              <w:t>IdRef</w:t>
            </w:r>
            <w:proofErr w:type="spellEnd"/>
            <w:r w:rsidRPr="0056522B">
              <w:rPr>
                <w:color w:val="7030A0"/>
              </w:rPr>
              <w:t xml:space="preserve"> qui ramène la liste des rôles de cet auteur : annotateur, collaborateur, éditeur scientifique, etc. Pour chaque rôle, la liste des notices présente dans le Catalogue </w:t>
            </w:r>
            <w:proofErr w:type="spellStart"/>
            <w:r w:rsidRPr="0056522B">
              <w:rPr>
                <w:color w:val="7030A0"/>
              </w:rPr>
              <w:t>Koha</w:t>
            </w:r>
            <w:proofErr w:type="spellEnd"/>
            <w:r w:rsidRPr="0056522B">
              <w:rPr>
                <w:color w:val="7030A0"/>
              </w:rPr>
              <w:t xml:space="preserve"> et dans le </w:t>
            </w:r>
            <w:proofErr w:type="spellStart"/>
            <w:r w:rsidRPr="0056522B">
              <w:rPr>
                <w:color w:val="7030A0"/>
              </w:rPr>
              <w:t>Sudoc</w:t>
            </w:r>
            <w:proofErr w:type="spellEnd"/>
            <w:r w:rsidRPr="0056522B">
              <w:rPr>
                <w:color w:val="7030A0"/>
              </w:rPr>
              <w:t xml:space="preserve"> est affichée. Pour activer cette fonctionnalité, il faut : activer la préférence </w:t>
            </w:r>
            <w:proofErr w:type="spellStart"/>
            <w:r w:rsidRPr="0056522B">
              <w:rPr>
                <w:color w:val="7030A0"/>
              </w:rPr>
              <w:t>IdRef</w:t>
            </w:r>
            <w:proofErr w:type="spellEnd"/>
            <w:r w:rsidRPr="0056522B">
              <w:rPr>
                <w:color w:val="7030A0"/>
              </w:rPr>
              <w:t xml:space="preserve"> ; vérifier sa configuration </w:t>
            </w:r>
            <w:proofErr w:type="spellStart"/>
            <w:r w:rsidRPr="0056522B">
              <w:rPr>
                <w:color w:val="7030A0"/>
              </w:rPr>
              <w:t>Zebra</w:t>
            </w:r>
            <w:proofErr w:type="spellEnd"/>
            <w:r w:rsidRPr="0056522B">
              <w:rPr>
                <w:color w:val="7030A0"/>
              </w:rPr>
              <w:t xml:space="preserve"> (champ contenant le PPN des notices indexé dans l’index </w:t>
            </w:r>
            <w:proofErr w:type="spellStart"/>
            <w:r w:rsidRPr="0056522B">
              <w:rPr>
                <w:color w:val="7030A0"/>
              </w:rPr>
              <w:t>Identified</w:t>
            </w:r>
            <w:proofErr w:type="spellEnd"/>
            <w:r w:rsidRPr="0056522B">
              <w:rPr>
                <w:color w:val="7030A0"/>
              </w:rPr>
              <w:t>-Standard de type w et n).</w:t>
            </w:r>
            <w:r>
              <w:rPr>
                <w:color w:val="7030A0"/>
                <w:sz w:val="12"/>
              </w:rPr>
              <w:t> »</w:t>
            </w:r>
          </w:p>
          <w:p w:rsidR="0056522B" w:rsidRDefault="0056522B" w:rsidP="005D6B2E">
            <w:pPr>
              <w:spacing w:after="0" w:line="259" w:lineRule="auto"/>
              <w:ind w:left="15" w:hanging="5"/>
              <w:rPr>
                <w:b/>
                <w:color w:val="7030A0"/>
              </w:rPr>
            </w:pPr>
            <w:r w:rsidRPr="0056522B">
              <w:rPr>
                <w:color w:val="7030A0"/>
              </w:rPr>
              <w:t>T</w:t>
            </w:r>
            <w:r>
              <w:rPr>
                <w:color w:val="7030A0"/>
              </w:rPr>
              <w:t xml:space="preserve">est en </w:t>
            </w:r>
            <w:proofErr w:type="spellStart"/>
            <w:r>
              <w:rPr>
                <w:color w:val="7030A0"/>
              </w:rPr>
              <w:t>dév</w:t>
            </w:r>
            <w:proofErr w:type="spellEnd"/>
            <w:r>
              <w:rPr>
                <w:color w:val="7030A0"/>
              </w:rPr>
              <w:t xml:space="preserve"> le 24/11/17 : Activer cette </w:t>
            </w:r>
            <w:proofErr w:type="spellStart"/>
            <w:r>
              <w:rPr>
                <w:color w:val="7030A0"/>
              </w:rPr>
              <w:t>péréférence</w:t>
            </w:r>
            <w:proofErr w:type="spellEnd"/>
            <w:r>
              <w:rPr>
                <w:color w:val="7030A0"/>
              </w:rPr>
              <w:t xml:space="preserve"> ne produit aucun résultat. </w:t>
            </w:r>
            <w:r w:rsidRPr="0056522B">
              <w:rPr>
                <w:b/>
                <w:color w:val="7030A0"/>
              </w:rPr>
              <w:t>Faut-il modifier la feuille de style ?</w:t>
            </w:r>
          </w:p>
          <w:p w:rsidR="00C47382" w:rsidRPr="00C47382" w:rsidRDefault="00E3509D" w:rsidP="00C47382">
            <w:pPr>
              <w:spacing w:line="259" w:lineRule="auto"/>
              <w:ind w:left="15" w:hanging="5"/>
              <w:rPr>
                <w:rFonts w:ascii="Calibri" w:eastAsia="Calibri" w:hAnsi="Calibri"/>
                <w:b/>
                <w:color w:val="7030A0"/>
                <w:sz w:val="22"/>
                <w:lang w:eastAsia="en-US"/>
              </w:rPr>
            </w:pPr>
            <w:proofErr w:type="spellStart"/>
            <w:r w:rsidRPr="0052181C">
              <w:rPr>
                <w:color w:val="auto"/>
                <w:highlight w:val="magenta"/>
              </w:rPr>
              <w:t>LQ</w:t>
            </w:r>
            <w:proofErr w:type="spellEnd"/>
            <w:r w:rsidRPr="0052181C">
              <w:rPr>
                <w:color w:val="auto"/>
                <w:highlight w:val="magenta"/>
              </w:rPr>
              <w:t xml:space="preserve"> cherche </w:t>
            </w:r>
            <w:proofErr w:type="gramStart"/>
            <w:r w:rsidRPr="0052181C">
              <w:rPr>
                <w:color w:val="auto"/>
                <w:highlight w:val="magenta"/>
              </w:rPr>
              <w:t>des bib</w:t>
            </w:r>
            <w:proofErr w:type="gramEnd"/>
            <w:r w:rsidRPr="0052181C">
              <w:rPr>
                <w:color w:val="auto"/>
                <w:highlight w:val="magenta"/>
              </w:rPr>
              <w:t xml:space="preserve"> où </w:t>
            </w:r>
            <w:proofErr w:type="spellStart"/>
            <w:r w:rsidRPr="0052181C">
              <w:rPr>
                <w:color w:val="auto"/>
                <w:highlight w:val="magenta"/>
              </w:rPr>
              <w:t>idref</w:t>
            </w:r>
            <w:proofErr w:type="spellEnd"/>
            <w:r w:rsidRPr="0052181C">
              <w:rPr>
                <w:color w:val="auto"/>
                <w:highlight w:val="magenta"/>
              </w:rPr>
              <w:t xml:space="preserve"> est utilisé</w:t>
            </w:r>
            <w:r w:rsidRPr="0052181C">
              <w:rPr>
                <w:color w:val="auto"/>
              </w:rPr>
              <w:t xml:space="preserve"> </w:t>
            </w:r>
            <w:proofErr w:type="spellStart"/>
            <w:r w:rsidR="00C47382" w:rsidRPr="00C47382">
              <w:rPr>
                <w:rFonts w:ascii="Calibri" w:eastAsia="Calibri" w:hAnsi="Calibri"/>
                <w:b/>
                <w:color w:val="7030A0"/>
                <w:sz w:val="22"/>
                <w:lang w:eastAsia="en-US"/>
              </w:rPr>
              <w:t>LQ</w:t>
            </w:r>
            <w:proofErr w:type="spellEnd"/>
            <w:r w:rsidR="00C47382" w:rsidRPr="00C47382">
              <w:rPr>
                <w:rFonts w:ascii="Calibri" w:eastAsia="Calibri" w:hAnsi="Calibri"/>
                <w:b/>
                <w:color w:val="7030A0"/>
                <w:sz w:val="22"/>
                <w:lang w:eastAsia="en-US"/>
              </w:rPr>
              <w:t xml:space="preserve"> a entamé un travail en février 2018. À suivre !</w:t>
            </w:r>
          </w:p>
          <w:p w:rsidR="00E3509D" w:rsidRPr="0052181C" w:rsidRDefault="00E3509D" w:rsidP="00E3509D">
            <w:pPr>
              <w:spacing w:after="0" w:line="259" w:lineRule="auto"/>
              <w:ind w:left="15" w:right="26" w:hanging="5"/>
              <w:rPr>
                <w:color w:val="auto"/>
              </w:rPr>
            </w:pPr>
            <w:bookmarkStart w:id="0" w:name="_GoBack"/>
            <w:bookmarkEnd w:id="0"/>
          </w:p>
          <w:p w:rsidR="00E3509D" w:rsidRPr="0056522B" w:rsidRDefault="00E3509D" w:rsidP="00E3509D">
            <w:pPr>
              <w:spacing w:after="0" w:line="259" w:lineRule="auto"/>
              <w:rPr>
                <w:color w:val="7030A0"/>
              </w:rPr>
            </w:pPr>
          </w:p>
          <w:p w:rsidR="005D6B2E" w:rsidRDefault="005D6B2E" w:rsidP="005D6B2E">
            <w:pPr>
              <w:spacing w:after="0" w:line="259" w:lineRule="auto"/>
              <w:ind w:left="15" w:hanging="5"/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actuelle=Désactiver</w:t>
            </w:r>
          </w:p>
        </w:tc>
      </w:tr>
    </w:tbl>
    <w:p w:rsidR="00FB41DB" w:rsidRDefault="00FB41DB" w:rsidP="00E3509D">
      <w:pPr>
        <w:ind w:left="567" w:right="-14" w:firstLine="0"/>
      </w:pPr>
    </w:p>
    <w:sectPr w:rsidR="00FB41DB">
      <w:pgSz w:w="11906" w:h="16838"/>
      <w:pgMar w:top="42" w:right="6" w:bottom="27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29EB"/>
    <w:multiLevelType w:val="hybridMultilevel"/>
    <w:tmpl w:val="916EA324"/>
    <w:lvl w:ilvl="0" w:tplc="302A11FE">
      <w:start w:val="1"/>
      <w:numFmt w:val="decimal"/>
      <w:lvlText w:val="%1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414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BEC6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B08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7AD9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92EE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C206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1E2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A8F6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DB"/>
    <w:rsid w:val="000D7514"/>
    <w:rsid w:val="001361D0"/>
    <w:rsid w:val="0056522B"/>
    <w:rsid w:val="005D6B2E"/>
    <w:rsid w:val="00AB0555"/>
    <w:rsid w:val="00C47382"/>
    <w:rsid w:val="00E3509D"/>
    <w:rsid w:val="00FB41DB"/>
    <w:rsid w:val="00F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3D64"/>
  <w15:docId w15:val="{B795D5A8-4E61-4158-A4C6-6581A946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5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D6B2E"/>
    <w:pPr>
      <w:keepNext/>
      <w:keepLines/>
      <w:spacing w:before="480" w:after="0" w:line="259" w:lineRule="auto"/>
      <w:ind w:left="0"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50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5D6B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22B"/>
    <w:rPr>
      <w:rFonts w:ascii="Tahoma" w:eastAsia="Times New Roman" w:hAnsi="Tahoma" w:cs="Tahoma"/>
      <w:color w:val="00000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6522B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35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https://www.tamil.fr/actu/koha_320.html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Koha â•º Administration systÃ¨me â•º PrÃ©fÃ©rences systÃ¨me</vt:lpstr>
    </vt:vector>
  </TitlesOfParts>
  <Company>ENSSIB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Koha â•º Administration systÃ¨me â•º PrÃ©fÃ©rences systÃ¨me</dc:title>
  <dc:subject/>
  <dc:creator>lquinson</dc:creator>
  <cp:keywords/>
  <cp:lastModifiedBy>Aurélie Bérut</cp:lastModifiedBy>
  <cp:revision>7</cp:revision>
  <dcterms:created xsi:type="dcterms:W3CDTF">2017-10-13T07:08:00Z</dcterms:created>
  <dcterms:modified xsi:type="dcterms:W3CDTF">2018-03-08T14:23:00Z</dcterms:modified>
</cp:coreProperties>
</file>