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14" w:rsidRDefault="00BA0F90" w:rsidP="00C101A0">
      <w:pPr>
        <w:pStyle w:val="Titre1"/>
      </w:pPr>
      <w:r>
        <w:t>Préférences Log</w:t>
      </w:r>
      <w:r w:rsidR="00527697">
        <w:tab/>
      </w:r>
      <w:r w:rsidR="00527697">
        <w:tab/>
      </w:r>
      <w:r w:rsidR="00527697">
        <w:tab/>
      </w:r>
      <w:r w:rsidR="00527697">
        <w:tab/>
      </w:r>
      <w:r w:rsidR="00527697">
        <w:tab/>
      </w:r>
      <w:r w:rsidR="00527697">
        <w:tab/>
      </w:r>
      <w:r w:rsidR="00527697">
        <w:tab/>
      </w:r>
      <w:r w:rsidR="00527697">
        <w:tab/>
        <w:t>fin examen le 3/11/17</w:t>
      </w:r>
    </w:p>
    <w:p w:rsidR="00C101A0" w:rsidRDefault="00C101A0" w:rsidP="00C101A0">
      <w:r w:rsidRPr="00237EB8">
        <w:rPr>
          <w:highlight w:val="green"/>
        </w:rPr>
        <w:t>Anodin</w:t>
      </w:r>
    </w:p>
    <w:p w:rsidR="00C101A0" w:rsidRDefault="00C101A0" w:rsidP="00C101A0">
      <w:r w:rsidRPr="00237EB8">
        <w:rPr>
          <w:highlight w:val="yellow"/>
        </w:rPr>
        <w:t>Présenter options</w:t>
      </w:r>
    </w:p>
    <w:p w:rsidR="00C101A0" w:rsidRDefault="00C101A0" w:rsidP="00C101A0">
      <w:r w:rsidRPr="00237EB8">
        <w:rPr>
          <w:highlight w:val="cyan"/>
        </w:rPr>
        <w:t>Option choisie</w:t>
      </w:r>
    </w:p>
    <w:p w:rsidR="00C101A0" w:rsidRDefault="00C101A0" w:rsidP="00C101A0">
      <w:r w:rsidRPr="004B3F96">
        <w:rPr>
          <w:highlight w:val="red"/>
        </w:rPr>
        <w:t xml:space="preserve">Groupe </w:t>
      </w:r>
      <w:proofErr w:type="spellStart"/>
      <w:r w:rsidRPr="004B3F96">
        <w:rPr>
          <w:highlight w:val="red"/>
        </w:rPr>
        <w:t>Koha</w:t>
      </w:r>
      <w:proofErr w:type="spellEnd"/>
    </w:p>
    <w:p w:rsidR="00C101A0" w:rsidRDefault="00C101A0" w:rsidP="00C101A0">
      <w:pPr>
        <w:rPr>
          <w:b/>
          <w:szCs w:val="20"/>
        </w:rPr>
      </w:pPr>
      <w:r w:rsidRPr="002D1CA1">
        <w:rPr>
          <w:b/>
          <w:szCs w:val="20"/>
        </w:rPr>
        <w:t>Gras : nouveau paramètre</w:t>
      </w:r>
    </w:p>
    <w:p w:rsidR="0085677C" w:rsidRDefault="0085677C" w:rsidP="00C101A0">
      <w:pPr>
        <w:rPr>
          <w:b/>
          <w:szCs w:val="20"/>
        </w:rPr>
      </w:pPr>
    </w:p>
    <w:p w:rsidR="002B42CD" w:rsidRDefault="002B42CD" w:rsidP="00920308">
      <w:pPr>
        <w:rPr>
          <w:color w:val="7030A0"/>
          <w:sz w:val="24"/>
        </w:rPr>
      </w:pPr>
      <w:r w:rsidRPr="0085677C">
        <w:rPr>
          <w:color w:val="7030A0"/>
          <w:sz w:val="24"/>
        </w:rPr>
        <w:t xml:space="preserve">Qui peut accéder aux logs ? </w:t>
      </w:r>
      <w:r w:rsidRPr="00494107">
        <w:rPr>
          <w:color w:val="FF0000"/>
          <w:sz w:val="24"/>
        </w:rPr>
        <w:t>accès sur le serveur (</w:t>
      </w:r>
      <w:proofErr w:type="spellStart"/>
      <w:r w:rsidRPr="00494107">
        <w:rPr>
          <w:color w:val="FF0000"/>
          <w:sz w:val="24"/>
        </w:rPr>
        <w:t>adm</w:t>
      </w:r>
      <w:proofErr w:type="spellEnd"/>
      <w:r w:rsidRPr="00494107">
        <w:rPr>
          <w:color w:val="FF0000"/>
          <w:sz w:val="24"/>
        </w:rPr>
        <w:t xml:space="preserve"> système</w:t>
      </w:r>
      <w:r>
        <w:rPr>
          <w:color w:val="FF0000"/>
          <w:sz w:val="24"/>
        </w:rPr>
        <w:t xml:space="preserve"> seulement</w:t>
      </w:r>
      <w:r w:rsidRPr="00494107">
        <w:rPr>
          <w:color w:val="FF0000"/>
          <w:sz w:val="24"/>
        </w:rPr>
        <w:t xml:space="preserve">). </w:t>
      </w:r>
      <w:proofErr w:type="spellStart"/>
      <w:r w:rsidRPr="0085677C">
        <w:rPr>
          <w:color w:val="7030A0"/>
          <w:sz w:val="24"/>
        </w:rPr>
        <w:t>A</w:t>
      </w:r>
      <w:proofErr w:type="spellEnd"/>
      <w:r w:rsidRPr="0085677C">
        <w:rPr>
          <w:color w:val="7030A0"/>
          <w:sz w:val="24"/>
        </w:rPr>
        <w:t xml:space="preserve"> quels logs les </w:t>
      </w:r>
      <w:proofErr w:type="spellStart"/>
      <w:r w:rsidRPr="0085677C">
        <w:rPr>
          <w:color w:val="7030A0"/>
          <w:sz w:val="24"/>
        </w:rPr>
        <w:t>superlibrarian</w:t>
      </w:r>
      <w:r>
        <w:rPr>
          <w:color w:val="7030A0"/>
          <w:sz w:val="24"/>
        </w:rPr>
        <w:t>s</w:t>
      </w:r>
      <w:proofErr w:type="spellEnd"/>
      <w:r w:rsidRPr="0085677C">
        <w:rPr>
          <w:color w:val="7030A0"/>
          <w:sz w:val="24"/>
        </w:rPr>
        <w:t xml:space="preserve"> peuvent-ils accéder ?</w:t>
      </w:r>
      <w:r>
        <w:rPr>
          <w:color w:val="7030A0"/>
          <w:sz w:val="24"/>
        </w:rPr>
        <w:t xml:space="preserve"> Et les administrateurs système</w:t>
      </w:r>
      <w:r w:rsidRPr="0085677C">
        <w:rPr>
          <w:color w:val="7030A0"/>
          <w:sz w:val="24"/>
        </w:rPr>
        <w:t xml:space="preserve"> ? Où trouver les logs ? Y at-il une liste </w:t>
      </w:r>
      <w:bookmarkStart w:id="0" w:name="_GoBack"/>
      <w:bookmarkEnd w:id="0"/>
      <w:r w:rsidR="00C96DC9" w:rsidRPr="0085677C">
        <w:rPr>
          <w:color w:val="7030A0"/>
          <w:sz w:val="24"/>
        </w:rPr>
        <w:t>recensant logs</w:t>
      </w:r>
      <w:r w:rsidRPr="0085677C">
        <w:rPr>
          <w:color w:val="7030A0"/>
          <w:sz w:val="24"/>
        </w:rPr>
        <w:t xml:space="preserve"> disponibles ? Si oui, l’enregistrer dans s : Mission </w:t>
      </w:r>
      <w:proofErr w:type="spellStart"/>
      <w:r w:rsidRPr="0085677C">
        <w:rPr>
          <w:color w:val="7030A0"/>
          <w:sz w:val="24"/>
        </w:rPr>
        <w:t>SIDE</w:t>
      </w:r>
      <w:proofErr w:type="spellEnd"/>
      <w:r>
        <w:rPr>
          <w:color w:val="7030A0"/>
          <w:sz w:val="24"/>
        </w:rPr>
        <w:t xml:space="preserve">. </w:t>
      </w:r>
      <w:r w:rsidRPr="0066287E">
        <w:rPr>
          <w:b/>
          <w:color w:val="7030A0"/>
          <w:sz w:val="24"/>
        </w:rPr>
        <w:t>Si non, la créer (log, description, accessibilité</w:t>
      </w:r>
      <w:r>
        <w:rPr>
          <w:color w:val="7030A0"/>
          <w:sz w:val="24"/>
        </w:rPr>
        <w:t xml:space="preserve"> (où, qui, comment)). </w:t>
      </w:r>
    </w:p>
    <w:p w:rsidR="002B42CD" w:rsidRPr="00F067BB" w:rsidRDefault="002B42CD" w:rsidP="00920308">
      <w:pPr>
        <w:rPr>
          <w:color w:val="FF0000"/>
          <w:sz w:val="24"/>
        </w:rPr>
      </w:pPr>
      <w:r w:rsidRPr="00F067BB">
        <w:rPr>
          <w:color w:val="FF0000"/>
          <w:sz w:val="24"/>
        </w:rPr>
        <w:t>OR doit regarder le 25/01/2018</w:t>
      </w:r>
      <w:r>
        <w:rPr>
          <w:color w:val="FF0000"/>
          <w:sz w:val="24"/>
        </w:rPr>
        <w:t xml:space="preserve"> et lister les logs disponibles en interface pro. </w:t>
      </w:r>
    </w:p>
    <w:p w:rsidR="002B42CD" w:rsidRDefault="002B42CD" w:rsidP="00920308">
      <w:pPr>
        <w:pStyle w:val="Titre2"/>
      </w:pPr>
      <w:proofErr w:type="spellStart"/>
      <w:proofErr w:type="gramStart"/>
      <w:r>
        <w:t>logs.pref</w:t>
      </w:r>
      <w:proofErr w:type="spellEnd"/>
      <w:proofErr w:type="gramEnd"/>
      <w:r>
        <w:t xml:space="preserve"> </w:t>
      </w:r>
      <w:proofErr w:type="spellStart"/>
      <w:r>
        <w:t>Debuggage</w:t>
      </w:r>
      <w:proofErr w:type="spellEnd"/>
    </w:p>
    <w:p w:rsidR="002B42CD" w:rsidRPr="00F067BB" w:rsidRDefault="002B42CD" w:rsidP="002B42CD">
      <w:pPr>
        <w:rPr>
          <w:color w:val="FF0000"/>
        </w:rPr>
      </w:pPr>
      <w:r w:rsidRPr="00F067BB">
        <w:rPr>
          <w:color w:val="FF0000"/>
        </w:rPr>
        <w:t xml:space="preserve">Sert quand il y un </w:t>
      </w:r>
      <w:proofErr w:type="spellStart"/>
      <w:r w:rsidRPr="00F067BB">
        <w:rPr>
          <w:color w:val="FF0000"/>
        </w:rPr>
        <w:t>un</w:t>
      </w:r>
      <w:proofErr w:type="spellEnd"/>
      <w:r w:rsidRPr="00F067BB">
        <w:rPr>
          <w:color w:val="FF0000"/>
        </w:rPr>
        <w:t xml:space="preserve"> bug d’affichage d’interface. </w:t>
      </w:r>
      <w:proofErr w:type="spellStart"/>
      <w:r w:rsidRPr="00F067BB">
        <w:rPr>
          <w:color w:val="FF0000"/>
        </w:rPr>
        <w:t>Enssib</w:t>
      </w:r>
      <w:proofErr w:type="spellEnd"/>
      <w:r w:rsidRPr="00F067BB">
        <w:rPr>
          <w:color w:val="FF0000"/>
        </w:rPr>
        <w:t xml:space="preserve"> ne s’en sert pas. OR le 25/01/2018</w:t>
      </w:r>
    </w:p>
    <w:tbl>
      <w:tblPr>
        <w:tblStyle w:val="TableGrid"/>
        <w:tblW w:w="10632" w:type="dxa"/>
        <w:tblInd w:w="41" w:type="dxa"/>
        <w:tblCellMar>
          <w:top w:w="48" w:type="dxa"/>
          <w:left w:w="41" w:type="dxa"/>
          <w:right w:w="206" w:type="dxa"/>
        </w:tblCellMar>
        <w:tblLook w:val="04A0" w:firstRow="1" w:lastRow="0" w:firstColumn="1" w:lastColumn="0" w:noHBand="0" w:noVBand="1"/>
      </w:tblPr>
      <w:tblGrid>
        <w:gridCol w:w="2835"/>
        <w:gridCol w:w="7797"/>
      </w:tblGrid>
      <w:tr w:rsidR="00BD7E14" w:rsidRPr="00C101A0" w:rsidTr="00C101A0">
        <w:trPr>
          <w:trHeight w:val="276"/>
        </w:trPr>
        <w:tc>
          <w:tcPr>
            <w:tcW w:w="283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D7E14" w:rsidRPr="00C101A0" w:rsidRDefault="00BA0F90">
            <w:pPr>
              <w:spacing w:after="0" w:line="259" w:lineRule="auto"/>
              <w:ind w:left="21" w:firstLine="0"/>
              <w:jc w:val="center"/>
              <w:rPr>
                <w:b/>
                <w:sz w:val="18"/>
              </w:rPr>
            </w:pPr>
            <w:r w:rsidRPr="00C101A0">
              <w:rPr>
                <w:b/>
                <w:sz w:val="18"/>
              </w:rPr>
              <w:t>Préférences</w:t>
            </w:r>
          </w:p>
        </w:tc>
        <w:tc>
          <w:tcPr>
            <w:tcW w:w="7797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BD7E14" w:rsidRPr="00C101A0" w:rsidRDefault="00BA0F90">
            <w:pPr>
              <w:spacing w:after="0" w:line="259" w:lineRule="auto"/>
              <w:ind w:left="165" w:firstLine="0"/>
              <w:jc w:val="center"/>
              <w:rPr>
                <w:b/>
                <w:sz w:val="18"/>
              </w:rPr>
            </w:pPr>
            <w:r w:rsidRPr="00C101A0">
              <w:rPr>
                <w:b/>
                <w:sz w:val="18"/>
              </w:rPr>
              <w:t>Valeur</w:t>
            </w:r>
          </w:p>
        </w:tc>
      </w:tr>
      <w:tr w:rsidR="00BD7E14" w:rsidTr="00C101A0">
        <w:trPr>
          <w:trHeight w:val="454"/>
        </w:trPr>
        <w:tc>
          <w:tcPr>
            <w:tcW w:w="283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D7E14" w:rsidRPr="002B42CD" w:rsidRDefault="00BA0F90">
            <w:pPr>
              <w:spacing w:after="0" w:line="259" w:lineRule="auto"/>
              <w:ind w:left="0" w:firstLine="0"/>
              <w:rPr>
                <w:b/>
                <w:highlight w:val="green"/>
              </w:rPr>
            </w:pPr>
            <w:proofErr w:type="spellStart"/>
            <w:r w:rsidRPr="002B42CD">
              <w:rPr>
                <w:b/>
                <w:sz w:val="16"/>
                <w:highlight w:val="green"/>
              </w:rPr>
              <w:t>D</w:t>
            </w:r>
            <w:r w:rsidRPr="002B42CD">
              <w:rPr>
                <w:b/>
                <w:sz w:val="18"/>
                <w:highlight w:val="green"/>
              </w:rPr>
              <w:t>umpTemplateVarsIntranet</w:t>
            </w:r>
            <w:proofErr w:type="spellEnd"/>
          </w:p>
        </w:tc>
        <w:tc>
          <w:tcPr>
            <w:tcW w:w="7797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BD7E14" w:rsidRDefault="00BA0F90">
            <w:pPr>
              <w:spacing w:after="0" w:line="259" w:lineRule="auto"/>
              <w:ind w:left="14" w:hanging="2"/>
              <w:jc w:val="both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11DE9CE4" wp14:editId="24359253">
                  <wp:extent cx="1981200" cy="134112"/>
                  <wp:effectExtent l="0" t="0" r="0" b="0"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logs.pref#DumpTemplateVarsIntranet</w:t>
            </w:r>
            <w:proofErr w:type="spellEnd"/>
            <w:r>
              <w:rPr>
                <w:sz w:val="12"/>
              </w:rPr>
              <w:t># copie toute la variable de la Boîte à outils de Modèle pour un commentaire dans la source HTML de l'intranet professionnel.</w:t>
            </w:r>
          </w:p>
          <w:p w:rsidR="00C101A0" w:rsidRPr="00C101A0" w:rsidRDefault="00C101A0">
            <w:pPr>
              <w:spacing w:after="0" w:line="259" w:lineRule="auto"/>
              <w:ind w:left="14" w:hanging="2"/>
              <w:jc w:val="both"/>
              <w:rPr>
                <w:rFonts w:asciiTheme="minorHAnsi" w:hAnsiTheme="minorHAnsi"/>
                <w:color w:val="7030A0"/>
                <w:sz w:val="24"/>
              </w:rPr>
            </w:pPr>
            <w:r w:rsidRPr="00C101A0">
              <w:rPr>
                <w:rFonts w:asciiTheme="minorHAnsi" w:hAnsiTheme="minorHAnsi"/>
                <w:color w:val="7030A0"/>
                <w:sz w:val="24"/>
              </w:rPr>
              <w:t>Je ne sais pas ce que cela signifie, implique, à quoi cela sert</w:t>
            </w:r>
          </w:p>
          <w:p w:rsidR="00C101A0" w:rsidRPr="00C101A0" w:rsidRDefault="00C101A0">
            <w:pPr>
              <w:spacing w:after="0" w:line="259" w:lineRule="auto"/>
              <w:ind w:left="14" w:hanging="2"/>
              <w:jc w:val="both"/>
              <w:rPr>
                <w:rFonts w:asciiTheme="minorHAnsi" w:hAnsiTheme="minorHAnsi"/>
                <w:color w:val="7030A0"/>
                <w:sz w:val="24"/>
              </w:rPr>
            </w:pPr>
            <w:r w:rsidRPr="00C101A0">
              <w:rPr>
                <w:rFonts w:asciiTheme="minorHAnsi" w:hAnsiTheme="minorHAnsi"/>
                <w:color w:val="7030A0"/>
                <w:sz w:val="24"/>
              </w:rPr>
              <w:t>Faire OU Ne pas faire</w:t>
            </w:r>
          </w:p>
          <w:p w:rsidR="00C101A0" w:rsidRDefault="00C101A0">
            <w:pPr>
              <w:spacing w:after="0" w:line="259" w:lineRule="auto"/>
              <w:ind w:left="14" w:hanging="2"/>
              <w:jc w:val="both"/>
            </w:pPr>
          </w:p>
        </w:tc>
      </w:tr>
      <w:tr w:rsidR="00BD7E14" w:rsidTr="00C101A0">
        <w:trPr>
          <w:trHeight w:val="454"/>
        </w:trPr>
        <w:tc>
          <w:tcPr>
            <w:tcW w:w="283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D7E14" w:rsidRPr="002B42CD" w:rsidRDefault="00BA0F90">
            <w:pPr>
              <w:spacing w:after="0" w:line="259" w:lineRule="auto"/>
              <w:ind w:left="0" w:firstLine="0"/>
              <w:rPr>
                <w:highlight w:val="green"/>
              </w:rPr>
            </w:pPr>
            <w:proofErr w:type="spellStart"/>
            <w:r w:rsidRPr="002B42CD">
              <w:rPr>
                <w:b/>
                <w:sz w:val="18"/>
                <w:highlight w:val="green"/>
              </w:rPr>
              <w:t>DumpTemplateVarsOpac</w:t>
            </w:r>
            <w:proofErr w:type="spellEnd"/>
          </w:p>
        </w:tc>
        <w:tc>
          <w:tcPr>
            <w:tcW w:w="7797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BD7E14" w:rsidRDefault="00BA0F90">
            <w:pPr>
              <w:spacing w:after="0" w:line="259" w:lineRule="auto"/>
              <w:ind w:left="14" w:hanging="2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299F3A64" wp14:editId="5C8FDE93">
                  <wp:extent cx="1868424" cy="134112"/>
                  <wp:effectExtent l="0" t="0" r="0" b="0"/>
                  <wp:docPr id="93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4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logs.pref#DumpTemplateVarsOpac</w:t>
            </w:r>
            <w:proofErr w:type="spellEnd"/>
            <w:r>
              <w:rPr>
                <w:sz w:val="12"/>
              </w:rPr>
              <w:t># copie toute la variable de la Boîte à outils des Modèles pour un commentaire dans la source HTML de l'OPAC.</w:t>
            </w:r>
          </w:p>
          <w:p w:rsidR="00C101A0" w:rsidRPr="00C101A0" w:rsidRDefault="00C101A0" w:rsidP="00C101A0">
            <w:pPr>
              <w:spacing w:after="0" w:line="259" w:lineRule="auto"/>
              <w:ind w:left="14" w:hanging="2"/>
              <w:jc w:val="both"/>
              <w:rPr>
                <w:rFonts w:asciiTheme="minorHAnsi" w:hAnsiTheme="minorHAnsi"/>
                <w:color w:val="7030A0"/>
                <w:sz w:val="24"/>
              </w:rPr>
            </w:pPr>
            <w:r w:rsidRPr="00C101A0">
              <w:rPr>
                <w:rFonts w:asciiTheme="minorHAnsi" w:hAnsiTheme="minorHAnsi"/>
                <w:color w:val="7030A0"/>
                <w:sz w:val="24"/>
              </w:rPr>
              <w:t>Je ne sais pas ce que cela signifie, implique, à quoi cela sert</w:t>
            </w:r>
          </w:p>
          <w:p w:rsidR="00C101A0" w:rsidRDefault="00C101A0" w:rsidP="00C101A0">
            <w:pPr>
              <w:spacing w:after="0" w:line="259" w:lineRule="auto"/>
              <w:ind w:left="14" w:hanging="2"/>
              <w:jc w:val="both"/>
            </w:pPr>
            <w:r w:rsidRPr="00C101A0">
              <w:rPr>
                <w:rFonts w:asciiTheme="minorHAnsi" w:hAnsiTheme="minorHAnsi"/>
                <w:color w:val="7030A0"/>
                <w:sz w:val="24"/>
              </w:rPr>
              <w:t>Faire OU Ne pas faire</w:t>
            </w:r>
          </w:p>
        </w:tc>
      </w:tr>
    </w:tbl>
    <w:p w:rsidR="00BD7E14" w:rsidRDefault="00BA0F90" w:rsidP="00C101A0">
      <w:pPr>
        <w:pStyle w:val="Titre2"/>
      </w:pPr>
      <w:proofErr w:type="spellStart"/>
      <w:proofErr w:type="gramStart"/>
      <w:r>
        <w:t>logs.pref</w:t>
      </w:r>
      <w:proofErr w:type="spellEnd"/>
      <w:proofErr w:type="gramEnd"/>
      <w:r>
        <w:t xml:space="preserve"> </w:t>
      </w:r>
      <w:proofErr w:type="spellStart"/>
      <w:r>
        <w:t>Logging</w:t>
      </w:r>
      <w:proofErr w:type="spellEnd"/>
    </w:p>
    <w:p w:rsidR="00BF2614" w:rsidRPr="00BF2614" w:rsidRDefault="00BF2614" w:rsidP="00BF2614"/>
    <w:tbl>
      <w:tblPr>
        <w:tblStyle w:val="TableGrid"/>
        <w:tblW w:w="10632" w:type="dxa"/>
        <w:tblInd w:w="41" w:type="dxa"/>
        <w:tblCellMar>
          <w:top w:w="48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8645"/>
      </w:tblGrid>
      <w:tr w:rsidR="00BD7E14" w:rsidRPr="00C101A0" w:rsidTr="00BF2614">
        <w:trPr>
          <w:trHeight w:val="278"/>
        </w:trPr>
        <w:tc>
          <w:tcPr>
            <w:tcW w:w="1987" w:type="dxa"/>
            <w:tcBorders>
              <w:top w:val="single" w:sz="4" w:space="0" w:color="BCBCBC"/>
              <w:left w:val="single" w:sz="4" w:space="0" w:color="BCBCBC"/>
              <w:bottom w:val="single" w:sz="4" w:space="0" w:color="auto"/>
              <w:right w:val="single" w:sz="4" w:space="0" w:color="CCCCCC"/>
            </w:tcBorders>
          </w:tcPr>
          <w:p w:rsidR="00BD7E14" w:rsidRPr="00C101A0" w:rsidRDefault="00BA0F90" w:rsidP="00C101A0">
            <w:pPr>
              <w:spacing w:after="0" w:line="259" w:lineRule="auto"/>
              <w:ind w:left="146" w:firstLine="0"/>
              <w:jc w:val="center"/>
              <w:rPr>
                <w:b/>
                <w:sz w:val="18"/>
              </w:rPr>
            </w:pPr>
            <w:r w:rsidRPr="00C101A0">
              <w:rPr>
                <w:b/>
                <w:sz w:val="18"/>
              </w:rPr>
              <w:t>Préférences</w:t>
            </w:r>
          </w:p>
        </w:tc>
        <w:tc>
          <w:tcPr>
            <w:tcW w:w="8645" w:type="dxa"/>
            <w:tcBorders>
              <w:top w:val="single" w:sz="4" w:space="0" w:color="BCBCBC"/>
              <w:left w:val="single" w:sz="4" w:space="0" w:color="CCCCCC"/>
              <w:bottom w:val="single" w:sz="4" w:space="0" w:color="auto"/>
              <w:right w:val="single" w:sz="4" w:space="0" w:color="BCBCBC"/>
            </w:tcBorders>
          </w:tcPr>
          <w:p w:rsidR="00BD7E14" w:rsidRPr="00C101A0" w:rsidRDefault="00BA0F90" w:rsidP="00C101A0">
            <w:pPr>
              <w:spacing w:after="0" w:line="259" w:lineRule="auto"/>
              <w:ind w:left="75" w:firstLine="0"/>
              <w:jc w:val="center"/>
              <w:rPr>
                <w:b/>
                <w:sz w:val="18"/>
              </w:rPr>
            </w:pPr>
            <w:r w:rsidRPr="00C101A0">
              <w:rPr>
                <w:b/>
                <w:sz w:val="18"/>
              </w:rPr>
              <w:t>Valeur</w:t>
            </w:r>
          </w:p>
        </w:tc>
      </w:tr>
      <w:tr w:rsidR="00BF2614" w:rsidTr="00BF2614">
        <w:tblPrEx>
          <w:tblCellMar>
            <w:top w:w="0" w:type="dxa"/>
            <w:left w:w="0" w:type="dxa"/>
            <w:right w:w="0" w:type="dxa"/>
          </w:tblCellMar>
        </w:tblPrEx>
        <w:trPr>
          <w:trHeight w:val="31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F067BB" w:rsidRDefault="00BF2614" w:rsidP="00920308">
            <w:pPr>
              <w:spacing w:line="259" w:lineRule="auto"/>
              <w:rPr>
                <w:highlight w:val="cyan"/>
              </w:rPr>
            </w:pPr>
            <w:proofErr w:type="spellStart"/>
            <w:r w:rsidRPr="00F067BB">
              <w:rPr>
                <w:sz w:val="12"/>
                <w:highlight w:val="cyan"/>
              </w:rPr>
              <w:t>AuthoritiesLog</w:t>
            </w:r>
            <w:proofErr w:type="spellEnd"/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Default="00BF2614" w:rsidP="00920308">
            <w:pPr>
              <w:spacing w:line="259" w:lineRule="auto"/>
              <w:ind w:left="7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60441A3E" wp14:editId="2FAFA460">
                  <wp:extent cx="725424" cy="134112"/>
                  <wp:effectExtent l="0" t="0" r="0" b="0"/>
                  <wp:docPr id="1443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les</w:t>
            </w:r>
            <w:proofErr w:type="gramEnd"/>
            <w:r>
              <w:rPr>
                <w:sz w:val="12"/>
              </w:rPr>
              <w:t xml:space="preserve"> changements apportés aux autorités.</w:t>
            </w:r>
          </w:p>
          <w:p w:rsidR="00BF2614" w:rsidRPr="00F067BB" w:rsidRDefault="00BF2614" w:rsidP="00920308">
            <w:pPr>
              <w:spacing w:line="259" w:lineRule="auto"/>
              <w:ind w:left="7"/>
              <w:rPr>
                <w:sz w:val="12"/>
              </w:rPr>
            </w:pPr>
            <w:r w:rsidRPr="0056279D">
              <w:rPr>
                <w:bdr w:val="single" w:sz="4" w:space="0" w:color="auto"/>
                <w:shd w:val="clear" w:color="auto" w:fill="5B9BD5" w:themeFill="accent1"/>
              </w:rPr>
              <w:t>Valeur =</w:t>
            </w:r>
            <w:r>
              <w:rPr>
                <w:bdr w:val="single" w:sz="4" w:space="0" w:color="auto"/>
                <w:shd w:val="clear" w:color="auto" w:fill="5B9BD5" w:themeFill="accent1"/>
              </w:rPr>
              <w:t>Journaliser</w:t>
            </w:r>
          </w:p>
        </w:tc>
      </w:tr>
      <w:tr w:rsidR="00BF2614" w:rsidTr="00BF2614">
        <w:tblPrEx>
          <w:tblCellMar>
            <w:top w:w="0" w:type="dxa"/>
            <w:left w:w="0" w:type="dxa"/>
            <w:right w:w="0" w:type="dxa"/>
          </w:tblCellMar>
        </w:tblPrEx>
        <w:trPr>
          <w:trHeight w:val="31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F067BB" w:rsidRDefault="00BF2614" w:rsidP="00920308">
            <w:pPr>
              <w:spacing w:line="259" w:lineRule="auto"/>
              <w:rPr>
                <w:highlight w:val="cyan"/>
              </w:rPr>
            </w:pPr>
            <w:proofErr w:type="spellStart"/>
            <w:r w:rsidRPr="00F067BB">
              <w:rPr>
                <w:sz w:val="12"/>
                <w:highlight w:val="cyan"/>
              </w:rPr>
              <w:t>BorrowersLog</w:t>
            </w:r>
            <w:proofErr w:type="spellEnd"/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F067BB" w:rsidRDefault="00BF2614" w:rsidP="00920308">
            <w:pPr>
              <w:spacing w:line="259" w:lineRule="auto"/>
              <w:ind w:left="7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0041C747" wp14:editId="76869E72">
                  <wp:extent cx="725424" cy="134112"/>
                  <wp:effectExtent l="0" t="0" r="0" b="0"/>
                  <wp:docPr id="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les modifications des adhérents.</w:t>
            </w:r>
          </w:p>
        </w:tc>
      </w:tr>
      <w:tr w:rsidR="00BF2614" w:rsidTr="00BF2614">
        <w:tblPrEx>
          <w:tblCellMar>
            <w:top w:w="0" w:type="dxa"/>
            <w:left w:w="0" w:type="dxa"/>
            <w:right w:w="0" w:type="dxa"/>
          </w:tblCellMar>
        </w:tblPrEx>
        <w:trPr>
          <w:trHeight w:val="45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F067BB" w:rsidRDefault="00BF2614" w:rsidP="00920308">
            <w:pPr>
              <w:spacing w:line="259" w:lineRule="auto"/>
              <w:rPr>
                <w:highlight w:val="cyan"/>
              </w:rPr>
            </w:pPr>
            <w:proofErr w:type="spellStart"/>
            <w:r w:rsidRPr="00F067BB">
              <w:rPr>
                <w:sz w:val="12"/>
                <w:highlight w:val="cyan"/>
              </w:rPr>
              <w:t>CataloguingLog</w:t>
            </w:r>
            <w:proofErr w:type="spellEnd"/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F067BB" w:rsidRDefault="00BF2614" w:rsidP="00920308">
            <w:pPr>
              <w:spacing w:line="259" w:lineRule="auto"/>
              <w:ind w:left="14" w:hanging="7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25796956" wp14:editId="3DCADC16">
                  <wp:extent cx="725424" cy="134112"/>
                  <wp:effectExtent l="0" t="0" r="0" b="0"/>
                  <wp:docPr id="8" name="Pictur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les</w:t>
            </w:r>
            <w:proofErr w:type="gramEnd"/>
            <w:r>
              <w:rPr>
                <w:sz w:val="12"/>
              </w:rPr>
              <w:t xml:space="preserve"> modifications des notices bibliographiques et des exemplaires. Tout prêt et tout retour d'un exemplaire est ainsi journalisé, ce qui crée un grand nombre d'entrées dans le journal de </w:t>
            </w:r>
            <w:proofErr w:type="spellStart"/>
            <w:r>
              <w:rPr>
                <w:sz w:val="12"/>
              </w:rPr>
              <w:t>Koha</w:t>
            </w:r>
            <w:proofErr w:type="spellEnd"/>
            <w:r>
              <w:rPr>
                <w:sz w:val="12"/>
              </w:rPr>
              <w:t>. Aussi est-il déconseillé d'activer ce suivi.</w:t>
            </w:r>
          </w:p>
        </w:tc>
      </w:tr>
      <w:tr w:rsidR="00BF2614" w:rsidTr="00BF2614">
        <w:tblPrEx>
          <w:tblCellMar>
            <w:top w:w="0" w:type="dxa"/>
            <w:left w:w="0" w:type="dxa"/>
            <w:right w:w="0" w:type="dxa"/>
          </w:tblCellMar>
        </w:tblPrEx>
        <w:trPr>
          <w:trHeight w:val="31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F067BB" w:rsidRDefault="00BF2614" w:rsidP="00920308">
            <w:pPr>
              <w:spacing w:line="259" w:lineRule="auto"/>
              <w:rPr>
                <w:b/>
                <w:highlight w:val="cyan"/>
              </w:rPr>
            </w:pPr>
            <w:proofErr w:type="spellStart"/>
            <w:r w:rsidRPr="00F067BB">
              <w:rPr>
                <w:b/>
                <w:sz w:val="18"/>
                <w:highlight w:val="cyan"/>
              </w:rPr>
              <w:t>CronjobLog</w:t>
            </w:r>
            <w:proofErr w:type="spellEnd"/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Default="00BF2614" w:rsidP="00920308">
            <w:pPr>
              <w:tabs>
                <w:tab w:val="left" w:pos="8320"/>
              </w:tabs>
              <w:spacing w:line="259" w:lineRule="auto"/>
              <w:ind w:right="169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2A6A1BA6" wp14:editId="43B3791C">
                  <wp:extent cx="1597152" cy="134112"/>
                  <wp:effectExtent l="0" t="0" r="0" b="0"/>
                  <wp:docPr id="9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15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logs.pref</w:t>
            </w:r>
            <w:proofErr w:type="gramEnd"/>
            <w:r>
              <w:rPr>
                <w:sz w:val="12"/>
              </w:rPr>
              <w:t>#CronjobLog</w:t>
            </w:r>
            <w:proofErr w:type="spellEnd"/>
            <w:r>
              <w:rPr>
                <w:sz w:val="12"/>
              </w:rPr>
              <w:t xml:space="preserve"># information en provenance des </w:t>
            </w:r>
            <w:proofErr w:type="spellStart"/>
            <w:r>
              <w:rPr>
                <w:sz w:val="12"/>
              </w:rPr>
              <w:t>cron</w:t>
            </w:r>
            <w:proofErr w:type="spellEnd"/>
            <w:r>
              <w:rPr>
                <w:sz w:val="12"/>
              </w:rPr>
              <w:t xml:space="preserve"> jobs.</w:t>
            </w:r>
          </w:p>
          <w:p w:rsidR="00BF2614" w:rsidRDefault="00BF2614" w:rsidP="00920308">
            <w:pPr>
              <w:tabs>
                <w:tab w:val="left" w:pos="8320"/>
              </w:tabs>
              <w:spacing w:line="259" w:lineRule="auto"/>
              <w:ind w:right="169"/>
            </w:pPr>
            <w:r>
              <w:rPr>
                <w:color w:val="7030A0"/>
                <w:sz w:val="24"/>
              </w:rPr>
              <w:t>C</w:t>
            </w:r>
            <w:r w:rsidRPr="00E301BB">
              <w:rPr>
                <w:color w:val="7030A0"/>
                <w:sz w:val="24"/>
              </w:rPr>
              <w:t>ela signifie que ces infos sont disponibles pour tous les utilisateurs professionnels (</w:t>
            </w:r>
            <w:proofErr w:type="spellStart"/>
            <w:r w:rsidRPr="00E301BB">
              <w:rPr>
                <w:color w:val="7030A0"/>
                <w:sz w:val="24"/>
              </w:rPr>
              <w:t>su</w:t>
            </w:r>
            <w:r>
              <w:rPr>
                <w:color w:val="7030A0"/>
                <w:sz w:val="24"/>
              </w:rPr>
              <w:t>perlibrarian</w:t>
            </w:r>
            <w:proofErr w:type="spellEnd"/>
            <w:r>
              <w:rPr>
                <w:color w:val="7030A0"/>
                <w:sz w:val="24"/>
              </w:rPr>
              <w:t xml:space="preserve">) de façon directe. Cf. </w:t>
            </w:r>
            <w:proofErr w:type="gramStart"/>
            <w:r>
              <w:rPr>
                <w:color w:val="7030A0"/>
                <w:sz w:val="24"/>
              </w:rPr>
              <w:t>les permissions adhérents</w:t>
            </w:r>
            <w:proofErr w:type="gramEnd"/>
            <w:r>
              <w:rPr>
                <w:color w:val="7030A0"/>
                <w:sz w:val="24"/>
              </w:rPr>
              <w:t xml:space="preserve">. </w:t>
            </w:r>
          </w:p>
        </w:tc>
      </w:tr>
      <w:tr w:rsidR="00BF2614" w:rsidTr="00BF2614">
        <w:tblPrEx>
          <w:tblCellMar>
            <w:top w:w="0" w:type="dxa"/>
            <w:left w:w="0" w:type="dxa"/>
            <w:right w:w="0" w:type="dxa"/>
          </w:tblCellMar>
        </w:tblPrEx>
        <w:trPr>
          <w:trHeight w:val="31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F067BB" w:rsidRDefault="00BF2614" w:rsidP="00920308">
            <w:pPr>
              <w:spacing w:line="259" w:lineRule="auto"/>
              <w:rPr>
                <w:highlight w:val="cyan"/>
              </w:rPr>
            </w:pPr>
            <w:proofErr w:type="spellStart"/>
            <w:r w:rsidRPr="00F067BB">
              <w:rPr>
                <w:b/>
                <w:sz w:val="18"/>
                <w:highlight w:val="cyan"/>
              </w:rPr>
              <w:t>HoldsLog</w:t>
            </w:r>
            <w:proofErr w:type="spellEnd"/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Default="00BF2614" w:rsidP="00920308">
            <w:pPr>
              <w:spacing w:line="259" w:lineRule="auto"/>
              <w:ind w:left="7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5739FDCA" wp14:editId="66CA0752">
                  <wp:extent cx="1603248" cy="134112"/>
                  <wp:effectExtent l="0" t="0" r="0" b="0"/>
                  <wp:docPr id="10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4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logs.pref</w:t>
            </w:r>
            <w:proofErr w:type="gramEnd"/>
            <w:r>
              <w:rPr>
                <w:sz w:val="12"/>
              </w:rPr>
              <w:t>#HoldsLog</w:t>
            </w:r>
            <w:proofErr w:type="spellEnd"/>
            <w:r>
              <w:rPr>
                <w:sz w:val="12"/>
              </w:rPr>
              <w:t xml:space="preserve"># n'importe quelle action sur les réservations (créer, annuler, suspendre, reprendre, </w:t>
            </w:r>
            <w:proofErr w:type="spellStart"/>
            <w:r>
              <w:rPr>
                <w:sz w:val="12"/>
              </w:rPr>
              <w:t>etc</w:t>
            </w:r>
            <w:proofErr w:type="spellEnd"/>
            <w:r>
              <w:rPr>
                <w:sz w:val="12"/>
              </w:rPr>
              <w:t>).</w:t>
            </w:r>
          </w:p>
          <w:p w:rsidR="00BF2614" w:rsidRDefault="00BF2614" w:rsidP="00920308">
            <w:pPr>
              <w:spacing w:line="259" w:lineRule="auto"/>
              <w:ind w:left="7"/>
            </w:pPr>
            <w:r>
              <w:rPr>
                <w:color w:val="7030A0"/>
                <w:sz w:val="24"/>
              </w:rPr>
              <w:t>C</w:t>
            </w:r>
            <w:r w:rsidRPr="00E301BB">
              <w:rPr>
                <w:color w:val="7030A0"/>
                <w:sz w:val="24"/>
              </w:rPr>
              <w:t>ela signifie que ces infos sont disponibles pour tous les utilisateurs professionnels (</w:t>
            </w:r>
            <w:proofErr w:type="spellStart"/>
            <w:r w:rsidRPr="00E301BB">
              <w:rPr>
                <w:color w:val="7030A0"/>
                <w:sz w:val="24"/>
              </w:rPr>
              <w:t>su</w:t>
            </w:r>
            <w:r>
              <w:rPr>
                <w:color w:val="7030A0"/>
                <w:sz w:val="24"/>
              </w:rPr>
              <w:t>perlibrarian</w:t>
            </w:r>
            <w:proofErr w:type="spellEnd"/>
            <w:r>
              <w:rPr>
                <w:color w:val="7030A0"/>
                <w:sz w:val="24"/>
              </w:rPr>
              <w:t>) de façon directe. Cf. les permissions adhérents.</w:t>
            </w:r>
          </w:p>
        </w:tc>
      </w:tr>
      <w:tr w:rsidR="00BF2614" w:rsidTr="00BF2614">
        <w:tblPrEx>
          <w:tblCellMar>
            <w:top w:w="0" w:type="dxa"/>
            <w:left w:w="0" w:type="dxa"/>
            <w:right w:w="0" w:type="dxa"/>
          </w:tblCellMar>
        </w:tblPrEx>
        <w:trPr>
          <w:trHeight w:val="31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Default="00BF2614" w:rsidP="00920308">
            <w:pPr>
              <w:spacing w:line="259" w:lineRule="auto"/>
            </w:pPr>
            <w:proofErr w:type="spellStart"/>
            <w:r w:rsidRPr="00E301BB">
              <w:rPr>
                <w:sz w:val="12"/>
                <w:highlight w:val="red"/>
              </w:rPr>
              <w:t>LetterLog</w:t>
            </w:r>
            <w:proofErr w:type="spellEnd"/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Default="00BF2614" w:rsidP="00920308">
            <w:pPr>
              <w:spacing w:line="259" w:lineRule="auto"/>
              <w:ind w:left="7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6F87C5EE" wp14:editId="46C11FF1">
                  <wp:extent cx="725424" cy="134112"/>
                  <wp:effectExtent l="0" t="0" r="0" b="0"/>
                  <wp:docPr id="11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les</w:t>
            </w:r>
            <w:proofErr w:type="gramEnd"/>
            <w:r>
              <w:rPr>
                <w:sz w:val="12"/>
              </w:rPr>
              <w:t xml:space="preserve"> réclamations automatiques.</w:t>
            </w:r>
          </w:p>
          <w:p w:rsidR="00BF2614" w:rsidRPr="003527C1" w:rsidRDefault="00BF2614" w:rsidP="00920308">
            <w:pPr>
              <w:spacing w:line="259" w:lineRule="auto"/>
              <w:ind w:left="7"/>
              <w:rPr>
                <w:rFonts w:eastAsiaTheme="minorHAnsi"/>
                <w:color w:val="FF0000"/>
                <w:sz w:val="22"/>
              </w:rPr>
            </w:pPr>
            <w:r>
              <w:rPr>
                <w:rFonts w:eastAsiaTheme="minorHAnsi"/>
                <w:color w:val="FF0000"/>
              </w:rPr>
              <w:t>OR ne sait pas. Peut-</w:t>
            </w:r>
            <w:r w:rsidRPr="003527C1">
              <w:rPr>
                <w:rFonts w:eastAsiaTheme="minorHAnsi"/>
                <w:color w:val="FF0000"/>
                <w:sz w:val="22"/>
              </w:rPr>
              <w:t>être les notifications aux fournisseurs. Le 25/01/2018</w:t>
            </w:r>
          </w:p>
          <w:p w:rsidR="00BF2614" w:rsidRDefault="00BF2614" w:rsidP="00920308">
            <w:pPr>
              <w:spacing w:line="259" w:lineRule="auto"/>
              <w:ind w:left="7"/>
            </w:pPr>
            <w:r w:rsidRPr="00E301BB">
              <w:rPr>
                <w:color w:val="7030A0"/>
                <w:sz w:val="24"/>
              </w:rPr>
              <w:t>Quelles réclamations ?</w:t>
            </w:r>
          </w:p>
        </w:tc>
      </w:tr>
      <w:tr w:rsidR="00BF2614" w:rsidTr="00BF2614">
        <w:tblPrEx>
          <w:tblCellMar>
            <w:top w:w="0" w:type="dxa"/>
            <w:left w:w="0" w:type="dxa"/>
            <w:right w:w="0" w:type="dxa"/>
          </w:tblCellMar>
        </w:tblPrEx>
        <w:trPr>
          <w:trHeight w:val="31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Default="00BF2614" w:rsidP="00920308">
            <w:pPr>
              <w:spacing w:line="259" w:lineRule="auto"/>
            </w:pPr>
            <w:proofErr w:type="spellStart"/>
            <w:r w:rsidRPr="003527C1">
              <w:rPr>
                <w:sz w:val="12"/>
                <w:highlight w:val="cyan"/>
              </w:rPr>
              <w:t>ReportsLog</w:t>
            </w:r>
            <w:proofErr w:type="spellEnd"/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Default="00BF2614" w:rsidP="00920308">
            <w:pPr>
              <w:spacing w:line="259" w:lineRule="auto"/>
              <w:ind w:right="169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79F32A5A" wp14:editId="00ACBBAE">
                  <wp:extent cx="1612392" cy="134112"/>
                  <wp:effectExtent l="0" t="0" r="0" b="0"/>
                  <wp:docPr id="12" name="Pictur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39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logs.pref</w:t>
            </w:r>
            <w:proofErr w:type="gramEnd"/>
            <w:r>
              <w:rPr>
                <w:sz w:val="12"/>
              </w:rPr>
              <w:t>#ReportsLog</w:t>
            </w:r>
            <w:proofErr w:type="spellEnd"/>
            <w:r>
              <w:rPr>
                <w:sz w:val="12"/>
              </w:rPr>
              <w:t># lorsque des rapports sont ajoutés, supprimés ou modifiés.</w:t>
            </w:r>
          </w:p>
          <w:p w:rsidR="00BF2614" w:rsidRDefault="00BF2614" w:rsidP="00920308">
            <w:pPr>
              <w:spacing w:line="259" w:lineRule="auto"/>
              <w:ind w:right="169"/>
            </w:pPr>
            <w:r w:rsidRPr="0056279D">
              <w:rPr>
                <w:bdr w:val="single" w:sz="4" w:space="0" w:color="auto"/>
                <w:shd w:val="clear" w:color="auto" w:fill="5B9BD5" w:themeFill="accent1"/>
              </w:rPr>
              <w:t>Valeur =</w:t>
            </w:r>
            <w:r>
              <w:rPr>
                <w:bdr w:val="single" w:sz="4" w:space="0" w:color="auto"/>
                <w:shd w:val="clear" w:color="auto" w:fill="5B9BD5" w:themeFill="accent1"/>
              </w:rPr>
              <w:t>Enregistrer</w:t>
            </w:r>
          </w:p>
        </w:tc>
      </w:tr>
      <w:tr w:rsidR="00BD7E14" w:rsidTr="00BF2614">
        <w:trPr>
          <w:trHeight w:val="310"/>
        </w:trPr>
        <w:tc>
          <w:tcPr>
            <w:tcW w:w="198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D7E14" w:rsidRDefault="00BA0F90">
            <w:pPr>
              <w:spacing w:after="0" w:line="259" w:lineRule="auto"/>
              <w:ind w:left="0" w:firstLine="0"/>
            </w:pPr>
            <w:proofErr w:type="spellStart"/>
            <w:r w:rsidRPr="00E301BB">
              <w:rPr>
                <w:sz w:val="12"/>
                <w:highlight w:val="green"/>
              </w:rPr>
              <w:t>FinesLog</w:t>
            </w:r>
            <w:proofErr w:type="spellEnd"/>
          </w:p>
        </w:tc>
        <w:tc>
          <w:tcPr>
            <w:tcW w:w="8645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BD7E14" w:rsidRDefault="00BA0F90">
            <w:pPr>
              <w:spacing w:after="0" w:line="259" w:lineRule="auto"/>
              <w:ind w:left="7" w:firstLine="0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4BDFD325" wp14:editId="64B407A2">
                  <wp:extent cx="725424" cy="134112"/>
                  <wp:effectExtent l="0" t="0" r="0" b="0"/>
                  <wp:docPr id="103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quand les </w:t>
            </w:r>
            <w:r w:rsidRPr="00E301BB">
              <w:rPr>
                <w:b/>
                <w:sz w:val="18"/>
              </w:rPr>
              <w:t>amendes</w:t>
            </w:r>
            <w:r w:rsidRPr="00E301BB">
              <w:rPr>
                <w:sz w:val="18"/>
              </w:rPr>
              <w:t xml:space="preserve"> </w:t>
            </w:r>
            <w:r>
              <w:rPr>
                <w:sz w:val="12"/>
              </w:rPr>
              <w:t>sont facturées, payées ou effacées.</w:t>
            </w:r>
          </w:p>
          <w:p w:rsidR="00E301BB" w:rsidRDefault="00E301BB" w:rsidP="00E301BB">
            <w:pPr>
              <w:spacing w:after="0" w:line="259" w:lineRule="auto"/>
              <w:ind w:left="7" w:firstLine="0"/>
            </w:pPr>
            <w:r w:rsidRPr="00237EB8">
              <w:rPr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= Ne pas </w:t>
            </w:r>
            <w:r>
              <w:rPr>
                <w:color w:val="auto"/>
                <w:bdr w:val="single" w:sz="4" w:space="0" w:color="auto"/>
                <w:shd w:val="clear" w:color="auto" w:fill="5B9BD5" w:themeFill="accent1"/>
              </w:rPr>
              <w:t>journaliser</w:t>
            </w:r>
          </w:p>
        </w:tc>
      </w:tr>
      <w:tr w:rsidR="00BD7E14" w:rsidTr="00BF2614">
        <w:trPr>
          <w:trHeight w:val="310"/>
        </w:trPr>
        <w:tc>
          <w:tcPr>
            <w:tcW w:w="198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D7E14" w:rsidRDefault="00BA0F90">
            <w:pPr>
              <w:spacing w:after="0" w:line="259" w:lineRule="auto"/>
              <w:ind w:left="0" w:firstLine="0"/>
            </w:pPr>
            <w:proofErr w:type="spellStart"/>
            <w:r w:rsidRPr="00E301BB">
              <w:rPr>
                <w:sz w:val="12"/>
                <w:highlight w:val="cyan"/>
              </w:rPr>
              <w:t>IssueLog</w:t>
            </w:r>
            <w:proofErr w:type="spellEnd"/>
          </w:p>
        </w:tc>
        <w:tc>
          <w:tcPr>
            <w:tcW w:w="8645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BD7E14" w:rsidRDefault="00BA0F90">
            <w:pPr>
              <w:spacing w:after="0" w:line="259" w:lineRule="auto"/>
              <w:ind w:left="7" w:firstLine="0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572F8E5B" wp14:editId="56751DFC">
                  <wp:extent cx="725424" cy="134112"/>
                  <wp:effectExtent l="0" t="0" r="0" b="0"/>
                  <wp:docPr id="107" name="Picture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les prêts.</w:t>
            </w:r>
          </w:p>
          <w:p w:rsidR="00E301BB" w:rsidRDefault="00E301BB" w:rsidP="00E301BB">
            <w:pPr>
              <w:spacing w:after="0" w:line="259" w:lineRule="auto"/>
              <w:ind w:left="7" w:firstLine="0"/>
            </w:pPr>
            <w:r w:rsidRPr="00237EB8">
              <w:rPr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= </w:t>
            </w:r>
            <w:r>
              <w:rPr>
                <w:color w:val="auto"/>
                <w:bdr w:val="single" w:sz="4" w:space="0" w:color="auto"/>
                <w:shd w:val="clear" w:color="auto" w:fill="5B9BD5" w:themeFill="accent1"/>
              </w:rPr>
              <w:t>Journaliser</w:t>
            </w:r>
          </w:p>
        </w:tc>
      </w:tr>
      <w:tr w:rsidR="00BD7E14" w:rsidTr="00BF2614">
        <w:trPr>
          <w:trHeight w:val="310"/>
        </w:trPr>
        <w:tc>
          <w:tcPr>
            <w:tcW w:w="198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D7E14" w:rsidRDefault="00BA0F90">
            <w:pPr>
              <w:spacing w:after="0" w:line="259" w:lineRule="auto"/>
              <w:ind w:left="0" w:firstLine="0"/>
            </w:pPr>
            <w:proofErr w:type="spellStart"/>
            <w:r w:rsidRPr="00E301BB">
              <w:rPr>
                <w:sz w:val="12"/>
                <w:highlight w:val="cyan"/>
              </w:rPr>
              <w:t>ReturnLog</w:t>
            </w:r>
            <w:proofErr w:type="spellEnd"/>
          </w:p>
        </w:tc>
        <w:tc>
          <w:tcPr>
            <w:tcW w:w="8645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BD7E14" w:rsidRDefault="00BA0F90">
            <w:pPr>
              <w:spacing w:after="0" w:line="259" w:lineRule="auto"/>
              <w:ind w:left="7" w:firstLine="0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03431802" wp14:editId="3FFCAE3D">
                  <wp:extent cx="725424" cy="134112"/>
                  <wp:effectExtent l="0" t="0" r="0" b="0"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les retours d'exemplaires.</w:t>
            </w:r>
          </w:p>
          <w:p w:rsidR="00E301BB" w:rsidRDefault="00E301BB">
            <w:pPr>
              <w:spacing w:after="0" w:line="259" w:lineRule="auto"/>
              <w:ind w:left="7" w:firstLine="0"/>
            </w:pPr>
            <w:r w:rsidRPr="00237EB8">
              <w:rPr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= </w:t>
            </w:r>
            <w:r>
              <w:rPr>
                <w:color w:val="auto"/>
                <w:bdr w:val="single" w:sz="4" w:space="0" w:color="auto"/>
                <w:shd w:val="clear" w:color="auto" w:fill="5B9BD5" w:themeFill="accent1"/>
              </w:rPr>
              <w:t>Journaliser</w:t>
            </w:r>
          </w:p>
        </w:tc>
      </w:tr>
      <w:tr w:rsidR="00BD7E14" w:rsidTr="00BF2614">
        <w:trPr>
          <w:trHeight w:val="310"/>
        </w:trPr>
        <w:tc>
          <w:tcPr>
            <w:tcW w:w="198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BD7E14" w:rsidRDefault="00BA0F90">
            <w:pPr>
              <w:spacing w:after="0" w:line="259" w:lineRule="auto"/>
              <w:ind w:left="0" w:firstLine="0"/>
            </w:pPr>
            <w:proofErr w:type="spellStart"/>
            <w:r w:rsidRPr="00E301BB">
              <w:rPr>
                <w:sz w:val="12"/>
                <w:highlight w:val="cyan"/>
              </w:rPr>
              <w:t>SubscriptionLog</w:t>
            </w:r>
            <w:proofErr w:type="spellEnd"/>
          </w:p>
        </w:tc>
        <w:tc>
          <w:tcPr>
            <w:tcW w:w="8645" w:type="dxa"/>
            <w:tcBorders>
              <w:top w:val="single" w:sz="4" w:space="0" w:color="CCCCC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BD7E14" w:rsidRDefault="00BA0F90">
            <w:pPr>
              <w:spacing w:after="0" w:line="259" w:lineRule="auto"/>
              <w:ind w:left="7" w:firstLine="0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5924B582" wp14:editId="705418D6">
                  <wp:extent cx="725424" cy="134112"/>
                  <wp:effectExtent l="0" t="0" r="0" b="0"/>
                  <wp:docPr id="115" name="Picture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les ajouts, modifications et suppressions de périodiques.</w:t>
            </w:r>
          </w:p>
          <w:p w:rsidR="00E301BB" w:rsidRDefault="00E301BB">
            <w:pPr>
              <w:spacing w:after="0" w:line="259" w:lineRule="auto"/>
              <w:ind w:left="7" w:firstLine="0"/>
            </w:pPr>
            <w:r w:rsidRPr="00237EB8">
              <w:rPr>
                <w:color w:val="auto"/>
                <w:bdr w:val="single" w:sz="4" w:space="0" w:color="auto"/>
                <w:shd w:val="clear" w:color="auto" w:fill="5B9BD5" w:themeFill="accent1"/>
              </w:rPr>
              <w:lastRenderedPageBreak/>
              <w:t xml:space="preserve">Valeur = </w:t>
            </w:r>
            <w:r>
              <w:rPr>
                <w:color w:val="auto"/>
                <w:bdr w:val="single" w:sz="4" w:space="0" w:color="auto"/>
                <w:shd w:val="clear" w:color="auto" w:fill="5B9BD5" w:themeFill="accent1"/>
              </w:rPr>
              <w:t>Journaliser</w:t>
            </w:r>
          </w:p>
        </w:tc>
      </w:tr>
    </w:tbl>
    <w:p w:rsidR="00BD7E14" w:rsidRDefault="00BD7E14" w:rsidP="00C101A0">
      <w:pPr>
        <w:ind w:left="149" w:right="-14" w:firstLine="0"/>
      </w:pPr>
    </w:p>
    <w:sectPr w:rsidR="00BD7E14" w:rsidSect="00C101A0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93335"/>
    <w:multiLevelType w:val="hybridMultilevel"/>
    <w:tmpl w:val="6E0E81BC"/>
    <w:lvl w:ilvl="0" w:tplc="8DEC1A24">
      <w:start w:val="1"/>
      <w:numFmt w:val="decimal"/>
      <w:lvlText w:val="%1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A6F4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E05A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E37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742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23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B481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C2B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D454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14"/>
    <w:rsid w:val="002B42CD"/>
    <w:rsid w:val="00527697"/>
    <w:rsid w:val="0066287E"/>
    <w:rsid w:val="0085677C"/>
    <w:rsid w:val="00BA0F90"/>
    <w:rsid w:val="00BD7E14"/>
    <w:rsid w:val="00BF2614"/>
    <w:rsid w:val="00C101A0"/>
    <w:rsid w:val="00C96DC9"/>
    <w:rsid w:val="00E3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B9F8E-36BD-4826-A12F-26F071FC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10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0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1A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101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101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Koha â•º Administration systÃ¨me â•º PrÃ©fÃ©rences systÃ¨me</vt:lpstr>
    </vt:vector>
  </TitlesOfParts>
  <Company>ENSSIB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Koha â•º Administration systÃ¨me â•º PrÃ©fÃ©rences systÃ¨me</dc:title>
  <dc:subject/>
  <dc:creator>lquinson</dc:creator>
  <cp:keywords/>
  <cp:lastModifiedBy>Aurélie Bérut</cp:lastModifiedBy>
  <cp:revision>8</cp:revision>
  <dcterms:created xsi:type="dcterms:W3CDTF">2017-10-12T15:26:00Z</dcterms:created>
  <dcterms:modified xsi:type="dcterms:W3CDTF">2018-04-17T09:05:00Z</dcterms:modified>
</cp:coreProperties>
</file>